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6"/>
        <w:rPr>
          <w:rFonts w:hint="default"/>
          <w:lang w:val="en-US" w:eastAsia="zh-CN"/>
        </w:rPr>
      </w:pPr>
      <w:r>
        <w:rPr>
          <w:rFonts w:hint="eastAsia"/>
          <w:lang w:val="en-US" w:eastAsia="zh-CN"/>
        </w:rPr>
        <w:t>ICS 13.100</w:t>
      </w:r>
    </w:p>
    <w:p>
      <w:pPr>
        <w:pStyle w:val="66"/>
        <w:rPr>
          <w:rFonts w:hint="default"/>
          <w:lang w:val="en-US" w:eastAsia="zh-CN"/>
        </w:rPr>
      </w:pPr>
      <w:r>
        <w:rPr>
          <w:rFonts w:hint="eastAsia"/>
          <w:lang w:val="en-US" w:eastAsia="zh-CN"/>
        </w:rPr>
        <w:t>CCS P 09</w:t>
      </w:r>
    </w:p>
    <w:p>
      <w:pPr>
        <w:pStyle w:val="57"/>
        <w:rPr>
          <w:rFonts w:hint="eastAsia"/>
        </w:rPr>
      </w:pPr>
      <w:r>
        <w:rPr>
          <w:rFonts w:hint="eastAsia"/>
          <w:lang w:val="en-US" w:eastAsia="zh-CN"/>
        </w:rPr>
        <w:t>T</w:t>
      </w:r>
      <w:r>
        <w:t>/</w:t>
      </w:r>
      <w:r>
        <w:rPr>
          <w:rFonts w:hint="eastAsia"/>
          <w:lang w:val="en-US" w:eastAsia="zh-CN"/>
        </w:rPr>
        <w:t>GZX 001</w:t>
      </w:r>
      <w:r>
        <w:rPr>
          <w:rFonts w:hint="eastAsia"/>
        </w:rPr>
        <w:t>-202</w:t>
      </w:r>
      <w:r>
        <w:rPr>
          <w:rFonts w:hint="eastAsia"/>
          <w:lang w:val="en-US" w:eastAsia="zh-CN"/>
        </w:rPr>
        <w:t>1</w:t>
      </w:r>
    </w:p>
    <w:p>
      <w:pPr>
        <w:pStyle w:val="57"/>
        <w:rPr>
          <w:rFonts w:hAnsi="黑体"/>
        </w:rPr>
      </w:pPr>
    </w:p>
    <w:p>
      <w:pPr>
        <w:pStyle w:val="72"/>
        <w:rPr>
          <w:rFonts w:hint="eastAsia"/>
          <w:sz w:val="44"/>
          <w:szCs w:val="44"/>
          <w:lang w:val="en-US" w:eastAsia="zh-CN"/>
        </w:rPr>
      </w:pPr>
      <w:bookmarkStart w:id="0" w:name="StdName"/>
      <w:r>
        <w:rPr>
          <w:rFonts w:hint="eastAsia"/>
          <w:sz w:val="44"/>
          <w:szCs w:val="44"/>
          <w:lang w:val="en-US" w:eastAsia="zh-CN"/>
        </w:rPr>
        <w:t>安全与风险综合</w:t>
      </w:r>
      <w:r>
        <w:rPr>
          <w:rFonts w:hint="eastAsia"/>
          <w:sz w:val="44"/>
          <w:szCs w:val="44"/>
        </w:rPr>
        <w:t>管理</w:t>
      </w:r>
      <w:r>
        <w:rPr>
          <w:rFonts w:hint="eastAsia"/>
          <w:sz w:val="44"/>
          <w:szCs w:val="44"/>
          <w:lang w:val="en-US" w:eastAsia="zh-CN"/>
        </w:rPr>
        <w:t>体系</w:t>
      </w:r>
      <w:bookmarkEnd w:id="0"/>
    </w:p>
    <w:p>
      <w:pPr>
        <w:pStyle w:val="72"/>
        <w:rPr>
          <w:rFonts w:hint="default"/>
          <w:sz w:val="32"/>
          <w:szCs w:val="32"/>
          <w:lang w:val="en-US" w:eastAsia="zh-CN"/>
        </w:rPr>
      </w:pPr>
      <w:r>
        <w:rPr>
          <w:rFonts w:hint="default"/>
          <w:sz w:val="32"/>
          <w:szCs w:val="32"/>
          <w:lang w:val="en-US" w:eastAsia="zh-CN"/>
        </w:rPr>
        <w:t>Safety and risk integrated management system</w:t>
      </w:r>
      <w:r>
        <w:rPr>
          <w:rFonts w:hint="eastAsia"/>
          <w:sz w:val="32"/>
          <w:szCs w:val="32"/>
          <w:lang w:val="en-US" w:eastAsia="zh-CN"/>
        </w:rPr>
        <w:t>s</w:t>
      </w:r>
    </w:p>
    <w:p>
      <w:pPr>
        <w:pStyle w:val="71"/>
      </w:pPr>
    </w:p>
    <w:p>
      <w:pPr>
        <w:pStyle w:val="70"/>
      </w:pP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noWrap w:val="0"/>
            <w:vAlign w:val="top"/>
          </w:tcPr>
          <w:p>
            <w:pPr>
              <w:pStyle w:val="69"/>
            </w:pPr>
            <w:r>
              <mc:AlternateContent>
                <mc:Choice Requires="wps">
                  <w:drawing>
                    <wp:anchor distT="0" distB="0" distL="114300" distR="114300" simplePos="0" relativeHeight="251661312" behindDoc="1" locked="1" layoutInCell="1" allowOverlap="1">
                      <wp:simplePos x="0" y="0"/>
                      <wp:positionH relativeFrom="column">
                        <wp:posOffset>2200910</wp:posOffset>
                      </wp:positionH>
                      <wp:positionV relativeFrom="paragraph">
                        <wp:posOffset>573405</wp:posOffset>
                      </wp:positionV>
                      <wp:extent cx="1905000" cy="254000"/>
                      <wp:effectExtent l="0" t="0" r="0" b="12700"/>
                      <wp:wrapNone/>
                      <wp:docPr id="3" name="矩形 3"/>
                      <wp:cNvGraphicFramePr/>
                      <a:graphic xmlns:a="http://schemas.openxmlformats.org/drawingml/2006/main">
                        <a:graphicData uri="http://schemas.microsoft.com/office/word/2010/wordprocessingShape">
                          <wps:wsp>
                            <wps:cNvSpPr/>
                            <wps:spPr>
                              <a:xfrm>
                                <a:off x="0" y="0"/>
                                <a:ext cx="1905000" cy="254000"/>
                              </a:xfrm>
                              <a:prstGeom prst="rect">
                                <a:avLst/>
                              </a:prstGeom>
                              <a:solidFill>
                                <a:srgbClr val="FFFFFF"/>
                              </a:solidFill>
                              <a:ln>
                                <a:noFill/>
                              </a:ln>
                            </wps:spPr>
                            <wps:bodyPr upright="1"/>
                          </wps:wsp>
                        </a:graphicData>
                      </a:graphic>
                    </wp:anchor>
                  </w:drawing>
                </mc:Choice>
                <mc:Fallback>
                  <w:pict>
                    <v:rect id="_x0000_s1026" o:spid="_x0000_s1026" o:spt="1" style="position:absolute;left:0pt;margin-left:173.3pt;margin-top:45.15pt;height:20pt;width:150pt;z-index:-251655168;mso-width-relative:page;mso-height-relative:page;" fillcolor="#FFFFFF" filled="t" stroked="f" coordsize="21600,21600" o:gfxdata="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AWJrpLVAAAA&#10;CgEAAA8AAAAAAAAAAQAgAAAAIgAAAGRycy9kb3ducmV2LnhtbFBLAQIUABQAAAAIAIdO4kBlaqBv&#10;rgEAAF8DAAAOAAAAAAAAAAEAIAAAACQBAABkcnMvZTJvRG9jLnhtbFBLBQYAAAAABgAGAFkBAABE&#10;BQAAAAA=&#10;">
                      <v:fill on="t" focussize="0,0"/>
                      <v:stroke on="f"/>
                      <v:imagedata o:title=""/>
                      <o:lock v:ext="edit" aspectratio="f"/>
                      <w10:anchorlock/>
                    </v:rect>
                  </w:pict>
                </mc:Fallback>
              </mc:AlternateContent>
            </w:r>
            <w:r>
              <mc:AlternateContent>
                <mc:Choice Requires="wps">
                  <w:drawing>
                    <wp:anchor distT="0" distB="0" distL="114300" distR="114300" simplePos="0" relativeHeight="251660288" behindDoc="1" locked="0" layoutInCell="1" allowOverlap="1">
                      <wp:simplePos x="0" y="0"/>
                      <wp:positionH relativeFrom="column">
                        <wp:posOffset>2454910</wp:posOffset>
                      </wp:positionH>
                      <wp:positionV relativeFrom="paragraph">
                        <wp:posOffset>255905</wp:posOffset>
                      </wp:positionV>
                      <wp:extent cx="1270000" cy="304800"/>
                      <wp:effectExtent l="0" t="0" r="6350" b="0"/>
                      <wp:wrapNone/>
                      <wp:docPr id="1" name="矩形 1"/>
                      <wp:cNvGraphicFramePr/>
                      <a:graphic xmlns:a="http://schemas.openxmlformats.org/drawingml/2006/main">
                        <a:graphicData uri="http://schemas.microsoft.com/office/word/2010/wordprocessingShape">
                          <wps:wsp>
                            <wps:cNvSpPr/>
                            <wps:spPr>
                              <a:xfrm>
                                <a:off x="0" y="0"/>
                                <a:ext cx="1270000" cy="304800"/>
                              </a:xfrm>
                              <a:prstGeom prst="rect">
                                <a:avLst/>
                              </a:prstGeom>
                              <a:solidFill>
                                <a:srgbClr val="FFFFFF"/>
                              </a:solidFill>
                              <a:ln>
                                <a:noFill/>
                              </a:ln>
                            </wps:spPr>
                            <wps:bodyPr upright="1"/>
                          </wps:wsp>
                        </a:graphicData>
                      </a:graphic>
                    </wp:anchor>
                  </w:drawing>
                </mc:Choice>
                <mc:Fallback>
                  <w:pict>
                    <v:rect id="_x0000_s1026" o:spid="_x0000_s1026" o:spt="1" style="position:absolute;left:0pt;margin-left:193.3pt;margin-top:20.15pt;height:24pt;width:100pt;z-index:-251656192;mso-width-relative:page;mso-height-relative:page;" fillcolor="#FFFFFF" filled="t" stroked="f" coordsize="21600,21600" o:gfxdata="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AD4Yvl1gAA&#10;AAkBAAAPAAAAAAAAAAEAIAAAACIAAABkcnMvZG93bnJldi54bWxQSwECFAAUAAAACACHTuJAwm22&#10;r64BAABfAwAADgAAAAAAAAABACAAAAAlAQAAZHJzL2Uyb0RvYy54bWxQSwUGAAAAAAYABgBZAQAA&#10;RQUAAAAA&#10;">
                      <v:fill on="t" focussize="0,0"/>
                      <v:stroke on="f"/>
                      <v:imagedata o:title=""/>
                      <o:lock v:ext="edit" aspectratio="f"/>
                    </v:rect>
                  </w:pict>
                </mc:Fallback>
              </mc:AlternateConten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noWrap w:val="0"/>
            <w:vAlign w:val="top"/>
          </w:tcPr>
          <w:p>
            <w:pPr>
              <w:pStyle w:val="109"/>
            </w:pPr>
          </w:p>
        </w:tc>
      </w:tr>
    </w:tbl>
    <w:p>
      <w:pPr>
        <w:pStyle w:val="125"/>
      </w:pPr>
      <w:r>
        <w:rPr>
          <w:rFonts w:hint="eastAsia" w:ascii="黑体"/>
          <w:lang w:val="en-US" w:eastAsia="zh-CN"/>
        </w:rPr>
        <w:t>2021</w:t>
      </w:r>
      <w:r>
        <w:t xml:space="preserve"> </w:t>
      </w:r>
      <w:r>
        <w:rPr>
          <w:rFonts w:ascii="黑体"/>
        </w:rPr>
        <w:t>-</w:t>
      </w:r>
      <w:r>
        <w:t xml:space="preserve"> </w:t>
      </w:r>
      <w:r>
        <w:rPr>
          <w:rFonts w:hint="eastAsia" w:ascii="黑体"/>
          <w:lang w:val="en-US" w:eastAsia="zh-CN"/>
        </w:rPr>
        <w:t>11</w:t>
      </w:r>
      <w:r>
        <w:t xml:space="preserve"> </w:t>
      </w:r>
      <w:r>
        <w:rPr>
          <w:rFonts w:ascii="黑体"/>
        </w:rPr>
        <w:t>-</w:t>
      </w:r>
      <w:r>
        <w:t xml:space="preserve"> </w:t>
      </w:r>
      <w:r>
        <w:rPr>
          <w:rFonts w:hint="eastAsia" w:ascii="黑体"/>
          <w:lang w:val="en-US" w:eastAsia="zh-CN"/>
        </w:rPr>
        <w:t>12</w:t>
      </w:r>
      <w:r>
        <w:rPr>
          <w:rFonts w:hint="eastAsia"/>
        </w:rPr>
        <w:t>发布</w:t>
      </w:r>
      <w:r>
        <mc:AlternateContent>
          <mc:Choice Requires="wps">
            <w:drawing>
              <wp:anchor distT="0" distB="0" distL="114300" distR="114300" simplePos="0" relativeHeight="251662336" behindDoc="0" locked="1" layoutInCell="1" allowOverlap="1">
                <wp:simplePos x="0" y="0"/>
                <wp:positionH relativeFrom="column">
                  <wp:posOffset>-635</wp:posOffset>
                </wp:positionH>
                <wp:positionV relativeFrom="page">
                  <wp:posOffset>9251950</wp:posOffset>
                </wp:positionV>
                <wp:extent cx="612013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612013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05pt;margin-top:728.5pt;height:0pt;width:481.9pt;mso-position-vertical-relative:page;z-index:251662336;mso-width-relative:page;mso-height-relative:page;" filled="f" stroked="t" coordsize="21600,21600" o:gfxdata="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JYdrPNYAAAALAQAADwAAAAAAAAABACAAAAAiAAAAZHJzL2Rvd25yZXYueG1sUEsBAhQA&#10;FAAAAAgAh07iQLhjKZj0AQAA5AMAAA4AAAAAAAAAAQAgAAAAJQEAAGRycy9lMm9Eb2MueG1sUEsF&#10;BgAAAAAGAAYAWQEAAIsFAAAAAA==&#10;">
                <v:fill on="f" focussize="0,0"/>
                <v:stroke color="#000000" joinstyle="round"/>
                <v:imagedata o:title=""/>
                <o:lock v:ext="edit" aspectratio="f"/>
                <w10:anchorlock/>
              </v:line>
            </w:pict>
          </mc:Fallback>
        </mc:AlternateContent>
      </w:r>
    </w:p>
    <w:p>
      <w:pPr>
        <w:pStyle w:val="126"/>
        <w:rPr>
          <w:rFonts w:hint="eastAsia" w:ascii="黑体" w:hAnsi="黑体" w:eastAsia="黑体" w:cs="黑体"/>
        </w:rPr>
      </w:pPr>
      <w:r>
        <w:rPr>
          <w:rFonts w:hint="eastAsia" w:ascii="黑体"/>
          <w:lang w:val="en-US" w:eastAsia="zh-CN"/>
        </w:rPr>
        <w:t>2021</w:t>
      </w:r>
      <w:r>
        <w:t xml:space="preserve"> </w:t>
      </w:r>
      <w:r>
        <w:rPr>
          <w:rFonts w:ascii="黑体"/>
        </w:rPr>
        <w:t>-</w:t>
      </w:r>
      <w:r>
        <w:t xml:space="preserve"> </w:t>
      </w:r>
      <w:r>
        <w:rPr>
          <w:rFonts w:hint="eastAsia" w:ascii="黑体"/>
          <w:lang w:val="en-US" w:eastAsia="zh-CN"/>
        </w:rPr>
        <w:t>11</w:t>
      </w:r>
      <w:r>
        <w:t xml:space="preserve"> </w:t>
      </w:r>
      <w:r>
        <w:rPr>
          <w:rFonts w:ascii="黑体"/>
        </w:rPr>
        <w:t>-</w:t>
      </w:r>
      <w:r>
        <w:t xml:space="preserve"> </w:t>
      </w:r>
      <w:r>
        <w:rPr>
          <w:rFonts w:hint="eastAsia" w:ascii="黑体"/>
          <w:lang w:val="en-US" w:eastAsia="zh-CN"/>
        </w:rPr>
        <w:t>12</w:t>
      </w:r>
      <w:bookmarkStart w:id="348" w:name="_GoBack"/>
      <w:bookmarkEnd w:id="348"/>
      <w:r>
        <w:rPr>
          <w:rFonts w:hint="eastAsia" w:ascii="黑体" w:hAnsi="黑体" w:eastAsia="黑体" w:cs="黑体"/>
        </w:rPr>
        <w:t>实施</w:t>
      </w:r>
    </w:p>
    <w:p>
      <w:pPr>
        <w:pStyle w:val="58"/>
        <w:framePr w:w="8975" w:x="1604"/>
        <w:ind w:left="980" w:hanging="560"/>
        <w:rPr>
          <w:sz w:val="24"/>
        </w:rPr>
      </w:pPr>
      <w:bookmarkStart w:id="1" w:name="fm"/>
      <w:r>
        <w:rPr>
          <w:rFonts w:hint="default"/>
          <w:w w:val="100"/>
          <w:szCs w:val="28"/>
          <w:lang w:val="en-US"/>
        </w:rPr>
        <mc:AlternateContent>
          <mc:Choice Requires="wps">
            <w:drawing>
              <wp:anchor distT="0" distB="0" distL="114300" distR="114300" simplePos="0" relativeHeight="251666432" behindDoc="1" locked="0" layoutInCell="1" allowOverlap="1">
                <wp:simplePos x="0" y="0"/>
                <wp:positionH relativeFrom="column">
                  <wp:posOffset>1810385</wp:posOffset>
                </wp:positionH>
                <wp:positionV relativeFrom="paragraph">
                  <wp:posOffset>-3942715</wp:posOffset>
                </wp:positionV>
                <wp:extent cx="1270000" cy="304800"/>
                <wp:effectExtent l="0" t="0" r="6350" b="0"/>
                <wp:wrapNone/>
                <wp:docPr id="8" name="矩形 8"/>
                <wp:cNvGraphicFramePr/>
                <a:graphic xmlns:a="http://schemas.openxmlformats.org/drawingml/2006/main">
                  <a:graphicData uri="http://schemas.microsoft.com/office/word/2010/wordprocessingShape">
                    <wps:wsp>
                      <wps:cNvSpPr/>
                      <wps:spPr>
                        <a:xfrm>
                          <a:off x="0" y="0"/>
                          <a:ext cx="1270000" cy="304800"/>
                        </a:xfrm>
                        <a:prstGeom prst="rect">
                          <a:avLst/>
                        </a:prstGeom>
                        <a:solidFill>
                          <a:srgbClr val="FFFFFF"/>
                        </a:solidFill>
                        <a:ln>
                          <a:noFill/>
                        </a:ln>
                      </wps:spPr>
                      <wps:bodyPr upright="1"/>
                    </wps:wsp>
                  </a:graphicData>
                </a:graphic>
              </wp:anchor>
            </w:drawing>
          </mc:Choice>
          <mc:Fallback>
            <w:pict>
              <v:rect id="_x0000_s1026" o:spid="_x0000_s1026" o:spt="1" style="position:absolute;left:0pt;margin-left:142.55pt;margin-top:-310.45pt;height:24pt;width:100pt;z-index:-251650048;mso-width-relative:page;mso-height-relative:page;" fillcolor="#FFFFFF" filled="t" stroked="f" coordsize="21600,21600" o:gfxdata="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5te7W&#10;2QAAAA0BAAAPAAAAAAAAAAEAIAAAACIAAABkcnMvZG93bnJldi54bWxQSwECFAAUAAAACACHTuJA&#10;wQbsmq4BAABfAwAADgAAAAAAAAABACAAAAAoAQAAZHJzL2Uyb0RvYy54bWxQSwUGAAAAAAYABgBZ&#10;AQAASAUAAAAA&#10;">
                <v:fill on="t" focussize="0,0"/>
                <v:stroke on="f"/>
                <v:imagedata o:title=""/>
                <o:lock v:ext="edit" aspectratio="f"/>
              </v:rect>
            </w:pict>
          </mc:Fallback>
        </mc:AlternateContent>
      </w:r>
      <w:r>
        <w:rPr>
          <w:rFonts w:hint="default"/>
          <w:w w:val="100"/>
          <w:szCs w:val="28"/>
          <w:lang w:val="en-US"/>
        </w:rPr>
        <mc:AlternateContent>
          <mc:Choice Requires="wps">
            <w:drawing>
              <wp:anchor distT="0" distB="0" distL="114300" distR="114300" simplePos="0" relativeHeight="251665408" behindDoc="1" locked="0" layoutInCell="1" allowOverlap="1">
                <wp:simplePos x="0" y="0"/>
                <wp:positionH relativeFrom="column">
                  <wp:posOffset>4413885</wp:posOffset>
                </wp:positionH>
                <wp:positionV relativeFrom="paragraph">
                  <wp:posOffset>-7435215</wp:posOffset>
                </wp:positionV>
                <wp:extent cx="1143000" cy="228600"/>
                <wp:effectExtent l="0" t="0" r="0" b="0"/>
                <wp:wrapNone/>
                <wp:docPr id="5" name="矩形 5"/>
                <wp:cNvGraphicFramePr/>
                <a:graphic xmlns:a="http://schemas.openxmlformats.org/drawingml/2006/main">
                  <a:graphicData uri="http://schemas.microsoft.com/office/word/2010/wordprocessingShape">
                    <wps:wsp>
                      <wps:cNvSpPr/>
                      <wps:spPr>
                        <a:xfrm>
                          <a:off x="0" y="0"/>
                          <a:ext cx="1143000" cy="228600"/>
                        </a:xfrm>
                        <a:prstGeom prst="rect">
                          <a:avLst/>
                        </a:prstGeom>
                        <a:solidFill>
                          <a:srgbClr val="FFFFFF"/>
                        </a:solidFill>
                        <a:ln>
                          <a:noFill/>
                        </a:ln>
                      </wps:spPr>
                      <wps:bodyPr upright="1"/>
                    </wps:wsp>
                  </a:graphicData>
                </a:graphic>
              </wp:anchor>
            </w:drawing>
          </mc:Choice>
          <mc:Fallback>
            <w:pict>
              <v:rect id="_x0000_s1026" o:spid="_x0000_s1026" o:spt="1" style="position:absolute;left:0pt;margin-left:347.55pt;margin-top:-585.45pt;height:18pt;width:90pt;z-index:-251651072;mso-width-relative:page;mso-height-relative:page;" fillcolor="#FFFFFF" filled="t" stroked="f" coordsize="21600,21600" o:gfxdata="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N/J&#10;ihHaAAAADwEAAA8AAAAAAAAAAQAgAAAAIgAAAGRycy9kb3ducmV2LnhtbFBLAQIUABQAAAAIAIdO&#10;4kDVuhiUrwEAAF8DAAAOAAAAAAAAAAEAIAAAACkBAABkcnMvZTJvRG9jLnhtbFBLBQYAAAAABgAG&#10;AFkBAABKBQAAAAA=&#10;">
                <v:fill on="t" focussize="0,0"/>
                <v:stroke on="f"/>
                <v:imagedata o:title=""/>
                <o:lock v:ext="edit" aspectratio="f"/>
              </v:rect>
            </w:pict>
          </mc:Fallback>
        </mc:AlternateContent>
      </w:r>
      <w:r>
        <w:rPr>
          <w:rFonts w:hint="default"/>
          <w:w w:val="100"/>
          <w:szCs w:val="28"/>
          <w:lang w:val="en-US"/>
        </w:rPr>
        <mc:AlternateContent>
          <mc:Choice Requires="wps">
            <w:drawing>
              <wp:anchor distT="0" distB="0" distL="114300" distR="114300" simplePos="0" relativeHeight="251664384" behindDoc="0" locked="0" layoutInCell="1" allowOverlap="1">
                <wp:simplePos x="0" y="0"/>
                <wp:positionH relativeFrom="column">
                  <wp:posOffset>-464820</wp:posOffset>
                </wp:positionH>
                <wp:positionV relativeFrom="paragraph">
                  <wp:posOffset>-7021195</wp:posOffset>
                </wp:positionV>
                <wp:extent cx="6120130" cy="0"/>
                <wp:effectExtent l="0" t="0" r="0" b="0"/>
                <wp:wrapNone/>
                <wp:docPr id="7" name="直接连接符 7"/>
                <wp:cNvGraphicFramePr/>
                <a:graphic xmlns:a="http://schemas.openxmlformats.org/drawingml/2006/main">
                  <a:graphicData uri="http://schemas.microsoft.com/office/word/2010/wordprocessingShape">
                    <wps:wsp>
                      <wps:cNvCnPr/>
                      <wps:spPr>
                        <a:xfrm>
                          <a:off x="0" y="0"/>
                          <a:ext cx="612013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6.6pt;margin-top:-552.85pt;height:0pt;width:481.9pt;z-index:251664384;mso-width-relative:page;mso-height-relative:page;" filled="f" stroked="t" coordsize="21600,21600" o:gfxdata="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7JZGg2AAAAA8BAAAPAAAAAAAAAAEAIAAAACIAAABkcnMvZG93bnJldi54bWxQSwEC&#10;FAAUAAAACACHTuJArKKtm/QBAADkAwAADgAAAAAAAAABACAAAAAnAQAAZHJzL2Uyb0RvYy54bWxQ&#10;SwUGAAAAAAYABgBZAQAAjQUAAAAA&#10;">
                <v:fill on="f" focussize="0,0"/>
                <v:stroke color="#000000" joinstyle="round"/>
                <v:imagedata o:title=""/>
                <o:lock v:ext="edit" aspectratio="f"/>
              </v:line>
            </w:pict>
          </mc:Fallback>
        </mc:AlternateContent>
      </w:r>
      <w:bookmarkEnd w:id="1"/>
      <w:r>
        <w:rPr>
          <w:rFonts w:hint="eastAsia"/>
          <w:w w:val="100"/>
          <w:szCs w:val="28"/>
          <w:lang w:val="en-US" w:eastAsia="zh-CN"/>
        </w:rPr>
        <w:t>广东省企业管理咨询协会</w:t>
      </w:r>
      <w:r>
        <w:rPr>
          <w:rFonts w:hint="eastAsia" w:ascii="MS Mincho" w:hAnsi="MS Mincho" w:eastAsia="MS Mincho" w:cs="MS Mincho"/>
          <w:sz w:val="24"/>
        </w:rPr>
        <w:t>  </w:t>
      </w:r>
      <w:r>
        <w:rPr>
          <w:rStyle w:val="133"/>
          <w:rFonts w:hint="eastAsia"/>
          <w:sz w:val="24"/>
        </w:rPr>
        <w:t>发布</w:t>
      </w:r>
    </w:p>
    <w:p>
      <w:pPr>
        <w:pStyle w:val="21"/>
        <w:rPr>
          <w:rFonts w:hint="eastAsia" w:ascii="黑体" w:hAnsi="黑体" w:eastAsia="黑体" w:cs="黑体"/>
          <w:sz w:val="84"/>
          <w:szCs w:val="84"/>
          <w:lang w:val="en-US"/>
        </w:rPr>
        <w:sectPr>
          <w:headerReference r:id="rId3" w:type="even"/>
          <w:footerReference r:id="rId4" w:type="even"/>
          <w:pgSz w:w="11906" w:h="16838"/>
          <w:pgMar w:top="567" w:right="1134" w:bottom="1134" w:left="1417" w:header="0" w:footer="0" w:gutter="0"/>
          <w:pgNumType w:fmt="upperRoman" w:start="1"/>
          <w:cols w:space="720" w:num="1"/>
          <w:docGrid w:type="lines" w:linePitch="312" w:charSpace="0"/>
        </w:sectPr>
      </w:pPr>
      <w:r>
        <w:rPr>
          <w:rFonts w:hint="eastAsia" w:ascii="黑体" w:hAnsi="黑体" w:eastAsia="黑体" w:cs="黑体"/>
          <w:sz w:val="84"/>
          <w:szCs w:val="84"/>
        </w:rPr>
        <mc:AlternateContent>
          <mc:Choice Requires="wps">
            <w:drawing>
              <wp:anchor distT="0" distB="0" distL="114300" distR="114300" simplePos="0" relativeHeight="251663360" behindDoc="0" locked="0" layoutInCell="1" allowOverlap="1">
                <wp:simplePos x="0" y="0"/>
                <wp:positionH relativeFrom="column">
                  <wp:posOffset>-635</wp:posOffset>
                </wp:positionH>
                <wp:positionV relativeFrom="paragraph">
                  <wp:posOffset>2339975</wp:posOffset>
                </wp:positionV>
                <wp:extent cx="6120130" cy="0"/>
                <wp:effectExtent l="0" t="0" r="0" b="0"/>
                <wp:wrapNone/>
                <wp:docPr id="6" name="直接连接符 6"/>
                <wp:cNvGraphicFramePr/>
                <a:graphic xmlns:a="http://schemas.openxmlformats.org/drawingml/2006/main">
                  <a:graphicData uri="http://schemas.microsoft.com/office/word/2010/wordprocessingShape">
                    <wps:wsp>
                      <wps:cNvCnPr/>
                      <wps:spPr>
                        <a:xfrm>
                          <a:off x="0" y="0"/>
                          <a:ext cx="612013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05pt;margin-top:184.25pt;height:0pt;width:481.9pt;z-index:251663360;mso-width-relative:page;mso-height-relative:page;" filled="f" stroked="t" coordsize="21600,21600" o:gfxdata="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EJB4l/XAAAACQEAAA8AAAAAAAAAAQAgAAAAIgAAAGRycy9kb3ducmV2LnhtbFBLAQIU&#10;ABQAAAAIAIdO4kC9ycn29AEAAOQDAAAOAAAAAAAAAAEAIAAAACYBAABkcnMvZTJvRG9jLnhtbFBL&#10;BQYAAAAABgAGAFkBAACMBQAAAAA=&#10;">
                <v:fill on="f" focussize="0,0"/>
                <v:stroke color="#000000" joinstyle="round"/>
                <v:imagedata o:title=""/>
                <o:lock v:ext="edit" aspectratio="f"/>
              </v:line>
            </w:pict>
          </mc:Fallback>
        </mc:AlternateContent>
      </w:r>
      <w:r>
        <w:rPr>
          <w:rFonts w:hint="eastAsia" w:ascii="黑体" w:hAnsi="黑体" w:eastAsia="黑体" w:cs="黑体"/>
          <w:sz w:val="84"/>
          <w:szCs w:val="84"/>
          <w:lang w:val="en-US" w:eastAsia="zh-CN"/>
        </w:rPr>
        <w:t>团  体  标  准</w:t>
      </w:r>
    </w:p>
    <w:p>
      <w:pPr>
        <w:pStyle w:val="96"/>
        <w:rPr>
          <w:rFonts w:hint="eastAsia"/>
        </w:rPr>
      </w:pPr>
      <w:bookmarkStart w:id="2" w:name="_Toc447200635"/>
      <w:bookmarkStart w:id="3" w:name="_Toc452740252"/>
      <w:bookmarkStart w:id="4" w:name="_Toc447200757"/>
      <w:bookmarkStart w:id="5" w:name="_Toc451938564"/>
      <w:bookmarkStart w:id="6" w:name="_Toc451955871"/>
      <w:r>
        <w:rPr>
          <w:rFonts w:hint="eastAsia"/>
        </w:rPr>
        <w:t>目</w:t>
      </w:r>
      <w:bookmarkStart w:id="7" w:name="BKML"/>
      <w:r>
        <w:rPr>
          <w:rFonts w:hAnsi="黑体"/>
        </w:rPr>
        <w:t>  </w:t>
      </w:r>
      <w:r>
        <w:rPr>
          <w:rFonts w:hint="eastAsia"/>
        </w:rPr>
        <w:t>次</w:t>
      </w:r>
      <w:bookmarkEnd w:id="7"/>
    </w:p>
    <w:p>
      <w:pPr>
        <w:pStyle w:val="17"/>
        <w:tabs>
          <w:tab w:val="right" w:leader="dot" w:pos="9354"/>
          <w:tab w:val="clear" w:pos="9242"/>
        </w:tabs>
      </w:pPr>
      <w:r>
        <w:rPr>
          <w:rFonts w:hint="default"/>
          <w:lang w:val="en-US"/>
        </w:rPr>
        <w:fldChar w:fldCharType="begin"/>
      </w:r>
      <w:r>
        <w:rPr>
          <w:rFonts w:hint="default"/>
          <w:lang w:val="en-US"/>
        </w:rPr>
        <w:instrText xml:space="preserve"> TOC \h \z \t"前言、引言标题,1,参考文献、索引标题,1,章标题,1,参考文献,1,附录标识,1,一级条标题, 3,附录章标题, 3" \* MERGEFORMAT </w:instrText>
      </w:r>
      <w:r>
        <w:rPr>
          <w:rFonts w:hint="default"/>
          <w:lang w:val="en-US"/>
        </w:rPr>
        <w:fldChar w:fldCharType="separate"/>
      </w:r>
      <w:r>
        <w:rPr>
          <w:rFonts w:hint="default"/>
          <w:lang w:val="en-US"/>
        </w:rPr>
        <w:fldChar w:fldCharType="begin"/>
      </w:r>
      <w:r>
        <w:rPr>
          <w:rFonts w:hint="default"/>
          <w:lang w:val="en-US"/>
        </w:rPr>
        <w:instrText xml:space="preserve"> HYPERLINK \l _Toc20710 </w:instrText>
      </w:r>
      <w:r>
        <w:rPr>
          <w:rFonts w:hint="default"/>
          <w:lang w:val="en-US"/>
        </w:rPr>
        <w:fldChar w:fldCharType="separate"/>
      </w:r>
      <w:r>
        <w:rPr>
          <w:rFonts w:hint="eastAsia"/>
        </w:rPr>
        <w:t>前</w:t>
      </w:r>
      <w:r>
        <w:rPr>
          <w:rFonts w:hAnsi="黑体"/>
        </w:rPr>
        <w:t>  </w:t>
      </w:r>
      <w:r>
        <w:rPr>
          <w:rFonts w:hint="eastAsia"/>
        </w:rPr>
        <w:t>言</w:t>
      </w:r>
      <w:r>
        <w:tab/>
      </w:r>
      <w:r>
        <w:fldChar w:fldCharType="begin"/>
      </w:r>
      <w:r>
        <w:instrText xml:space="preserve"> PAGEREF _Toc20710 </w:instrText>
      </w:r>
      <w:r>
        <w:fldChar w:fldCharType="separate"/>
      </w:r>
      <w:r>
        <w:t>V</w:t>
      </w:r>
      <w:r>
        <w:fldChar w:fldCharType="end"/>
      </w:r>
      <w:r>
        <w:rPr>
          <w:rFonts w:hint="default"/>
          <w:lang w:val="en-US"/>
        </w:rPr>
        <w:fldChar w:fldCharType="end"/>
      </w:r>
    </w:p>
    <w:p>
      <w:pPr>
        <w:pStyle w:val="17"/>
        <w:tabs>
          <w:tab w:val="right" w:leader="dot" w:pos="9354"/>
          <w:tab w:val="clear" w:pos="9242"/>
        </w:tabs>
      </w:pPr>
      <w:r>
        <w:rPr>
          <w:rFonts w:hint="default"/>
          <w:lang w:val="en-US"/>
        </w:rPr>
        <w:fldChar w:fldCharType="begin"/>
      </w:r>
      <w:r>
        <w:rPr>
          <w:rFonts w:hint="default"/>
          <w:lang w:val="en-US"/>
        </w:rPr>
        <w:instrText xml:space="preserve"> HYPERLINK \l _Toc26911 </w:instrText>
      </w:r>
      <w:r>
        <w:rPr>
          <w:rFonts w:hint="default"/>
          <w:lang w:val="en-US"/>
        </w:rPr>
        <w:fldChar w:fldCharType="separate"/>
      </w:r>
      <w:r>
        <w:rPr>
          <w:rFonts w:hint="eastAsia"/>
          <w:lang w:val="en-US" w:eastAsia="zh-CN"/>
        </w:rPr>
        <w:t>引</w:t>
      </w:r>
      <w:r>
        <w:rPr>
          <w:rFonts w:hAnsi="黑体"/>
        </w:rPr>
        <w:t>  </w:t>
      </w:r>
      <w:r>
        <w:rPr>
          <w:rFonts w:hint="eastAsia"/>
        </w:rPr>
        <w:t>言</w:t>
      </w:r>
      <w:r>
        <w:tab/>
      </w:r>
      <w:r>
        <w:fldChar w:fldCharType="begin"/>
      </w:r>
      <w:r>
        <w:instrText xml:space="preserve"> PAGEREF _Toc26911 </w:instrText>
      </w:r>
      <w:r>
        <w:fldChar w:fldCharType="separate"/>
      </w:r>
      <w:r>
        <w:t>VI</w:t>
      </w:r>
      <w:r>
        <w:fldChar w:fldCharType="end"/>
      </w:r>
      <w:r>
        <w:rPr>
          <w:rFonts w:hint="default"/>
          <w:lang w:val="en-US"/>
        </w:rPr>
        <w:fldChar w:fldCharType="end"/>
      </w:r>
    </w:p>
    <w:p>
      <w:pPr>
        <w:pStyle w:val="17"/>
        <w:tabs>
          <w:tab w:val="right" w:leader="dot" w:pos="9354"/>
          <w:tab w:val="clear" w:pos="9242"/>
        </w:tabs>
      </w:pPr>
      <w:r>
        <w:rPr>
          <w:rFonts w:hint="default"/>
          <w:lang w:val="en-US"/>
        </w:rPr>
        <w:fldChar w:fldCharType="begin"/>
      </w:r>
      <w:r>
        <w:rPr>
          <w:rFonts w:hint="default"/>
          <w:lang w:val="en-US"/>
        </w:rPr>
        <w:instrText xml:space="preserve"> HYPERLINK \l _Toc15448 </w:instrText>
      </w:r>
      <w:r>
        <w:rPr>
          <w:rFonts w:hint="default"/>
          <w:lang w:val="en-US"/>
        </w:rPr>
        <w:fldChar w:fldCharType="separate"/>
      </w:r>
      <w:r>
        <w:rPr>
          <w:rFonts w:hint="eastAsia" w:ascii="黑体" w:hAnsi="Times New Roman" w:eastAsia="黑体"/>
          <w:i w:val="0"/>
          <w:szCs w:val="21"/>
        </w:rPr>
        <w:t xml:space="preserve">1 </w:t>
      </w:r>
      <w:r>
        <w:rPr>
          <w:rFonts w:hint="eastAsia"/>
        </w:rPr>
        <w:t>范围</w:t>
      </w:r>
      <w:r>
        <w:tab/>
      </w:r>
      <w:r>
        <w:fldChar w:fldCharType="begin"/>
      </w:r>
      <w:r>
        <w:instrText xml:space="preserve"> PAGEREF _Toc15448 </w:instrText>
      </w:r>
      <w:r>
        <w:fldChar w:fldCharType="separate"/>
      </w:r>
      <w:r>
        <w:t>7</w:t>
      </w:r>
      <w:r>
        <w:fldChar w:fldCharType="end"/>
      </w:r>
      <w:r>
        <w:rPr>
          <w:rFonts w:hint="default"/>
          <w:lang w:val="en-US"/>
        </w:rPr>
        <w:fldChar w:fldCharType="end"/>
      </w:r>
    </w:p>
    <w:p>
      <w:pPr>
        <w:pStyle w:val="17"/>
        <w:tabs>
          <w:tab w:val="right" w:leader="dot" w:pos="9354"/>
          <w:tab w:val="clear" w:pos="9242"/>
        </w:tabs>
      </w:pPr>
      <w:r>
        <w:rPr>
          <w:rFonts w:hint="default"/>
          <w:lang w:val="en-US"/>
        </w:rPr>
        <w:fldChar w:fldCharType="begin"/>
      </w:r>
      <w:r>
        <w:rPr>
          <w:rFonts w:hint="default"/>
          <w:lang w:val="en-US"/>
        </w:rPr>
        <w:instrText xml:space="preserve"> HYPERLINK \l _Toc10419 </w:instrText>
      </w:r>
      <w:r>
        <w:rPr>
          <w:rFonts w:hint="default"/>
          <w:lang w:val="en-US"/>
        </w:rPr>
        <w:fldChar w:fldCharType="separate"/>
      </w:r>
      <w:r>
        <w:rPr>
          <w:rFonts w:hint="eastAsia" w:ascii="黑体" w:hAnsi="Times New Roman" w:eastAsia="黑体"/>
          <w:i w:val="0"/>
          <w:szCs w:val="21"/>
        </w:rPr>
        <w:t xml:space="preserve">2 </w:t>
      </w:r>
      <w:r>
        <w:rPr>
          <w:rFonts w:hint="eastAsia"/>
        </w:rPr>
        <w:t>规范性引用文件</w:t>
      </w:r>
      <w:r>
        <w:tab/>
      </w:r>
      <w:r>
        <w:fldChar w:fldCharType="begin"/>
      </w:r>
      <w:r>
        <w:instrText xml:space="preserve"> PAGEREF _Toc10419 </w:instrText>
      </w:r>
      <w:r>
        <w:fldChar w:fldCharType="separate"/>
      </w:r>
      <w:r>
        <w:t>7</w:t>
      </w:r>
      <w:r>
        <w:fldChar w:fldCharType="end"/>
      </w:r>
      <w:r>
        <w:rPr>
          <w:rFonts w:hint="default"/>
          <w:lang w:val="en-US"/>
        </w:rPr>
        <w:fldChar w:fldCharType="end"/>
      </w:r>
    </w:p>
    <w:p>
      <w:pPr>
        <w:pStyle w:val="17"/>
        <w:tabs>
          <w:tab w:val="right" w:leader="dot" w:pos="9354"/>
          <w:tab w:val="clear" w:pos="9242"/>
        </w:tabs>
      </w:pPr>
      <w:r>
        <w:rPr>
          <w:rFonts w:hint="default"/>
          <w:lang w:val="en-US"/>
        </w:rPr>
        <w:fldChar w:fldCharType="begin"/>
      </w:r>
      <w:r>
        <w:rPr>
          <w:rFonts w:hint="default"/>
          <w:lang w:val="en-US"/>
        </w:rPr>
        <w:instrText xml:space="preserve"> HYPERLINK \l _Toc17529 </w:instrText>
      </w:r>
      <w:r>
        <w:rPr>
          <w:rFonts w:hint="default"/>
          <w:lang w:val="en-US"/>
        </w:rPr>
        <w:fldChar w:fldCharType="separate"/>
      </w:r>
      <w:r>
        <w:rPr>
          <w:rFonts w:hint="eastAsia" w:ascii="黑体" w:hAnsi="Times New Roman" w:eastAsia="黑体"/>
          <w:i w:val="0"/>
          <w:szCs w:val="21"/>
        </w:rPr>
        <w:t xml:space="preserve">3 </w:t>
      </w:r>
      <w:r>
        <w:rPr>
          <w:rFonts w:hint="eastAsia"/>
          <w:lang w:val="en-US" w:eastAsia="zh-CN"/>
        </w:rPr>
        <w:t>术语和定义</w:t>
      </w:r>
      <w:r>
        <w:tab/>
      </w:r>
      <w:r>
        <w:fldChar w:fldCharType="begin"/>
      </w:r>
      <w:r>
        <w:instrText xml:space="preserve"> PAGEREF _Toc17529 </w:instrText>
      </w:r>
      <w:r>
        <w:fldChar w:fldCharType="separate"/>
      </w:r>
      <w:r>
        <w:t>7</w:t>
      </w:r>
      <w:r>
        <w:fldChar w:fldCharType="end"/>
      </w:r>
      <w:r>
        <w:rPr>
          <w:rFonts w:hint="default"/>
          <w:lang w:val="en-US"/>
        </w:rPr>
        <w:fldChar w:fldCharType="end"/>
      </w:r>
    </w:p>
    <w:p>
      <w:pPr>
        <w:pStyle w:val="11"/>
        <w:tabs>
          <w:tab w:val="right" w:leader="dot" w:pos="9354"/>
          <w:tab w:val="clear" w:pos="9241"/>
        </w:tabs>
      </w:pPr>
      <w:r>
        <w:rPr>
          <w:rFonts w:hint="default"/>
          <w:lang w:val="en-US"/>
        </w:rPr>
        <w:fldChar w:fldCharType="begin"/>
      </w:r>
      <w:r>
        <w:rPr>
          <w:rFonts w:hint="default"/>
          <w:lang w:val="en-US"/>
        </w:rPr>
        <w:instrText xml:space="preserve"> HYPERLINK \l _Toc21967 </w:instrText>
      </w:r>
      <w:r>
        <w:rPr>
          <w:rFonts w:hint="default"/>
          <w:lang w:val="en-US"/>
        </w:rPr>
        <w:fldChar w:fldCharType="separate"/>
      </w:r>
      <w:r>
        <w:rPr>
          <w:rFonts w:hint="eastAsia" w:ascii="黑体" w:hAnsi="Times New Roman" w:eastAsia="黑体" w:cs="Times New Roman"/>
          <w:bCs w:val="0"/>
          <w:i w:val="0"/>
          <w:iCs w:val="0"/>
          <w:caps w:val="0"/>
          <w:strike w:val="0"/>
          <w:dstrike w:val="0"/>
          <w:outline w:val="0"/>
          <w:shadow w:val="0"/>
          <w:emboss w:val="0"/>
          <w:imprint w:val="0"/>
          <w:vanish w:val="0"/>
          <w:spacing w:val="0"/>
          <w:kern w:val="0"/>
          <w:position w:val="0"/>
          <w:szCs w:val="21"/>
          <w:vertAlign w:val="baseline"/>
          <w:lang w:val="en-US" w:eastAsia="zh-CN"/>
        </w:rPr>
        <w:t xml:space="preserve">3.1 </w:t>
      </w:r>
      <w:r>
        <w:rPr>
          <w:rFonts w:hint="eastAsia"/>
          <w:lang w:val="en-US" w:eastAsia="zh-CN"/>
        </w:rPr>
        <w:t>安全与风险综合管理体系</w:t>
      </w:r>
      <w:r>
        <w:tab/>
      </w:r>
      <w:r>
        <w:fldChar w:fldCharType="begin"/>
      </w:r>
      <w:r>
        <w:instrText xml:space="preserve"> PAGEREF _Toc21967 </w:instrText>
      </w:r>
      <w:r>
        <w:fldChar w:fldCharType="separate"/>
      </w:r>
      <w:r>
        <w:t>7</w:t>
      </w:r>
      <w:r>
        <w:fldChar w:fldCharType="end"/>
      </w:r>
      <w:r>
        <w:rPr>
          <w:rFonts w:hint="default"/>
          <w:lang w:val="en-US"/>
        </w:rPr>
        <w:fldChar w:fldCharType="end"/>
      </w:r>
    </w:p>
    <w:p>
      <w:pPr>
        <w:pStyle w:val="11"/>
        <w:tabs>
          <w:tab w:val="right" w:leader="dot" w:pos="9354"/>
          <w:tab w:val="clear" w:pos="9241"/>
        </w:tabs>
      </w:pPr>
      <w:r>
        <w:rPr>
          <w:rFonts w:hint="default"/>
          <w:lang w:val="en-US"/>
        </w:rPr>
        <w:fldChar w:fldCharType="begin"/>
      </w:r>
      <w:r>
        <w:rPr>
          <w:rFonts w:hint="default"/>
          <w:lang w:val="en-US"/>
        </w:rPr>
        <w:instrText xml:space="preserve"> HYPERLINK \l _Toc7750 </w:instrText>
      </w:r>
      <w:r>
        <w:rPr>
          <w:rFonts w:hint="default"/>
          <w:lang w:val="en-US"/>
        </w:rPr>
        <w:fldChar w:fldCharType="separate"/>
      </w:r>
      <w:r>
        <w:rPr>
          <w:rFonts w:hint="eastAsia" w:ascii="黑体" w:hAnsi="Times New Roman" w:eastAsia="黑体" w:cs="Times New Roman"/>
          <w:bCs w:val="0"/>
          <w:i w:val="0"/>
          <w:iCs w:val="0"/>
          <w:caps w:val="0"/>
          <w:strike w:val="0"/>
          <w:dstrike w:val="0"/>
          <w:outline w:val="0"/>
          <w:shadow w:val="0"/>
          <w:emboss w:val="0"/>
          <w:imprint w:val="0"/>
          <w:vanish w:val="0"/>
          <w:spacing w:val="0"/>
          <w:kern w:val="0"/>
          <w:position w:val="0"/>
          <w:szCs w:val="21"/>
          <w:vertAlign w:val="baseline"/>
          <w:lang w:val="en-US" w:eastAsia="zh-CN"/>
        </w:rPr>
        <w:t xml:space="preserve">3.2 </w:t>
      </w:r>
      <w:r>
        <w:rPr>
          <w:rFonts w:hint="eastAsia"/>
          <w:lang w:val="en-US" w:eastAsia="zh-CN"/>
        </w:rPr>
        <w:t>合规义务</w:t>
      </w:r>
      <w:r>
        <w:tab/>
      </w:r>
      <w:r>
        <w:fldChar w:fldCharType="begin"/>
      </w:r>
      <w:r>
        <w:instrText xml:space="preserve"> PAGEREF _Toc7750 </w:instrText>
      </w:r>
      <w:r>
        <w:fldChar w:fldCharType="separate"/>
      </w:r>
      <w:r>
        <w:t>7</w:t>
      </w:r>
      <w:r>
        <w:fldChar w:fldCharType="end"/>
      </w:r>
      <w:r>
        <w:rPr>
          <w:rFonts w:hint="default"/>
          <w:lang w:val="en-US"/>
        </w:rPr>
        <w:fldChar w:fldCharType="end"/>
      </w:r>
    </w:p>
    <w:p>
      <w:pPr>
        <w:pStyle w:val="11"/>
        <w:tabs>
          <w:tab w:val="right" w:leader="dot" w:pos="9354"/>
          <w:tab w:val="clear" w:pos="9241"/>
        </w:tabs>
      </w:pPr>
      <w:r>
        <w:rPr>
          <w:rFonts w:hint="default"/>
          <w:lang w:val="en-US"/>
        </w:rPr>
        <w:fldChar w:fldCharType="begin"/>
      </w:r>
      <w:r>
        <w:rPr>
          <w:rFonts w:hint="default"/>
          <w:lang w:val="en-US"/>
        </w:rPr>
        <w:instrText xml:space="preserve"> HYPERLINK \l _Toc4138 </w:instrText>
      </w:r>
      <w:r>
        <w:rPr>
          <w:rFonts w:hint="default"/>
          <w:lang w:val="en-US"/>
        </w:rPr>
        <w:fldChar w:fldCharType="separate"/>
      </w:r>
      <w:r>
        <w:rPr>
          <w:rFonts w:hint="eastAsia" w:ascii="黑体" w:hAnsi="Times New Roman" w:eastAsia="黑体" w:cs="Times New Roman"/>
          <w:bCs w:val="0"/>
          <w:i w:val="0"/>
          <w:iCs w:val="0"/>
          <w:caps w:val="0"/>
          <w:strike w:val="0"/>
          <w:dstrike w:val="0"/>
          <w:outline w:val="0"/>
          <w:shadow w:val="0"/>
          <w:emboss w:val="0"/>
          <w:imprint w:val="0"/>
          <w:vanish w:val="0"/>
          <w:spacing w:val="0"/>
          <w:kern w:val="0"/>
          <w:position w:val="0"/>
          <w:szCs w:val="21"/>
          <w:vertAlign w:val="baseline"/>
          <w:lang w:val="en-US" w:eastAsia="zh-CN"/>
        </w:rPr>
        <w:t xml:space="preserve">3.3 </w:t>
      </w:r>
      <w:r>
        <w:rPr>
          <w:rFonts w:hint="eastAsia"/>
          <w:lang w:val="en-US" w:eastAsia="zh-CN"/>
        </w:rPr>
        <w:t>成文信息</w:t>
      </w:r>
      <w:r>
        <w:tab/>
      </w:r>
      <w:r>
        <w:fldChar w:fldCharType="begin"/>
      </w:r>
      <w:r>
        <w:instrText xml:space="preserve"> PAGEREF _Toc4138 </w:instrText>
      </w:r>
      <w:r>
        <w:fldChar w:fldCharType="separate"/>
      </w:r>
      <w:r>
        <w:t>7</w:t>
      </w:r>
      <w:r>
        <w:fldChar w:fldCharType="end"/>
      </w:r>
      <w:r>
        <w:rPr>
          <w:rFonts w:hint="default"/>
          <w:lang w:val="en-US"/>
        </w:rPr>
        <w:fldChar w:fldCharType="end"/>
      </w:r>
    </w:p>
    <w:p>
      <w:pPr>
        <w:pStyle w:val="11"/>
        <w:tabs>
          <w:tab w:val="right" w:leader="dot" w:pos="9354"/>
          <w:tab w:val="clear" w:pos="9241"/>
        </w:tabs>
      </w:pPr>
      <w:r>
        <w:rPr>
          <w:rFonts w:hint="default"/>
          <w:lang w:val="en-US"/>
        </w:rPr>
        <w:fldChar w:fldCharType="begin"/>
      </w:r>
      <w:r>
        <w:rPr>
          <w:rFonts w:hint="default"/>
          <w:lang w:val="en-US"/>
        </w:rPr>
        <w:instrText xml:space="preserve"> HYPERLINK \l _Toc22170 </w:instrText>
      </w:r>
      <w:r>
        <w:rPr>
          <w:rFonts w:hint="default"/>
          <w:lang w:val="en-US"/>
        </w:rPr>
        <w:fldChar w:fldCharType="separate"/>
      </w:r>
      <w:r>
        <w:rPr>
          <w:rFonts w:hint="eastAsia" w:ascii="黑体" w:hAnsi="Times New Roman" w:eastAsia="黑体" w:cs="Times New Roman"/>
          <w:bCs w:val="0"/>
          <w:i w:val="0"/>
          <w:iCs w:val="0"/>
          <w:caps w:val="0"/>
          <w:strike w:val="0"/>
          <w:dstrike w:val="0"/>
          <w:outline w:val="0"/>
          <w:shadow w:val="0"/>
          <w:emboss w:val="0"/>
          <w:imprint w:val="0"/>
          <w:vanish w:val="0"/>
          <w:spacing w:val="0"/>
          <w:kern w:val="0"/>
          <w:position w:val="0"/>
          <w:szCs w:val="21"/>
          <w:vertAlign w:val="baseline"/>
          <w:lang w:val="en-US" w:eastAsia="zh-CN"/>
        </w:rPr>
        <w:t xml:space="preserve">3.4 </w:t>
      </w:r>
      <w:r>
        <w:rPr>
          <w:rFonts w:hint="eastAsia"/>
          <w:lang w:val="en-US" w:eastAsia="zh-CN"/>
        </w:rPr>
        <w:t>风险</w:t>
      </w:r>
      <w:r>
        <w:tab/>
      </w:r>
      <w:r>
        <w:fldChar w:fldCharType="begin"/>
      </w:r>
      <w:r>
        <w:instrText xml:space="preserve"> PAGEREF _Toc22170 </w:instrText>
      </w:r>
      <w:r>
        <w:fldChar w:fldCharType="separate"/>
      </w:r>
      <w:r>
        <w:t>7</w:t>
      </w:r>
      <w:r>
        <w:fldChar w:fldCharType="end"/>
      </w:r>
      <w:r>
        <w:rPr>
          <w:rFonts w:hint="default"/>
          <w:lang w:val="en-US"/>
        </w:rPr>
        <w:fldChar w:fldCharType="end"/>
      </w:r>
    </w:p>
    <w:p>
      <w:pPr>
        <w:pStyle w:val="11"/>
        <w:tabs>
          <w:tab w:val="right" w:leader="dot" w:pos="9354"/>
          <w:tab w:val="clear" w:pos="9241"/>
        </w:tabs>
      </w:pPr>
      <w:r>
        <w:rPr>
          <w:rFonts w:hint="default"/>
          <w:lang w:val="en-US"/>
        </w:rPr>
        <w:fldChar w:fldCharType="begin"/>
      </w:r>
      <w:r>
        <w:rPr>
          <w:rFonts w:hint="default"/>
          <w:lang w:val="en-US"/>
        </w:rPr>
        <w:instrText xml:space="preserve"> HYPERLINK \l _Toc29990 </w:instrText>
      </w:r>
      <w:r>
        <w:rPr>
          <w:rFonts w:hint="default"/>
          <w:lang w:val="en-US"/>
        </w:rPr>
        <w:fldChar w:fldCharType="separate"/>
      </w:r>
      <w:r>
        <w:rPr>
          <w:rFonts w:hint="eastAsia" w:ascii="黑体" w:hAnsi="Times New Roman" w:eastAsia="黑体" w:cs="Times New Roman"/>
          <w:bCs w:val="0"/>
          <w:i w:val="0"/>
          <w:iCs w:val="0"/>
          <w:caps w:val="0"/>
          <w:strike w:val="0"/>
          <w:dstrike w:val="0"/>
          <w:outline w:val="0"/>
          <w:shadow w:val="0"/>
          <w:emboss w:val="0"/>
          <w:imprint w:val="0"/>
          <w:vanish w:val="0"/>
          <w:spacing w:val="0"/>
          <w:kern w:val="0"/>
          <w:position w:val="0"/>
          <w:szCs w:val="21"/>
          <w:vertAlign w:val="baseline"/>
          <w:lang w:val="en-US" w:eastAsia="zh-CN"/>
        </w:rPr>
        <w:t xml:space="preserve">3.5 </w:t>
      </w:r>
      <w:r>
        <w:rPr>
          <w:rFonts w:hint="eastAsia"/>
          <w:lang w:val="en-US" w:eastAsia="zh-CN"/>
        </w:rPr>
        <w:t>风险和机遇</w:t>
      </w:r>
      <w:r>
        <w:tab/>
      </w:r>
      <w:r>
        <w:fldChar w:fldCharType="begin"/>
      </w:r>
      <w:r>
        <w:instrText xml:space="preserve"> PAGEREF _Toc29990 </w:instrText>
      </w:r>
      <w:r>
        <w:fldChar w:fldCharType="separate"/>
      </w:r>
      <w:r>
        <w:t>8</w:t>
      </w:r>
      <w:r>
        <w:fldChar w:fldCharType="end"/>
      </w:r>
      <w:r>
        <w:rPr>
          <w:rFonts w:hint="default"/>
          <w:lang w:val="en-US"/>
        </w:rPr>
        <w:fldChar w:fldCharType="end"/>
      </w:r>
    </w:p>
    <w:p>
      <w:pPr>
        <w:pStyle w:val="11"/>
        <w:tabs>
          <w:tab w:val="right" w:leader="dot" w:pos="9354"/>
          <w:tab w:val="clear" w:pos="9241"/>
        </w:tabs>
      </w:pPr>
      <w:r>
        <w:rPr>
          <w:rFonts w:hint="default"/>
          <w:lang w:val="en-US"/>
        </w:rPr>
        <w:fldChar w:fldCharType="begin"/>
      </w:r>
      <w:r>
        <w:rPr>
          <w:rFonts w:hint="default"/>
          <w:lang w:val="en-US"/>
        </w:rPr>
        <w:instrText xml:space="preserve"> HYPERLINK \l _Toc12636 </w:instrText>
      </w:r>
      <w:r>
        <w:rPr>
          <w:rFonts w:hint="default"/>
          <w:lang w:val="en-US"/>
        </w:rPr>
        <w:fldChar w:fldCharType="separate"/>
      </w:r>
      <w:r>
        <w:rPr>
          <w:rFonts w:hint="eastAsia" w:ascii="黑体" w:hAnsi="Times New Roman" w:eastAsia="黑体" w:cs="Times New Roman"/>
          <w:bCs w:val="0"/>
          <w:i w:val="0"/>
          <w:iCs w:val="0"/>
          <w:caps w:val="0"/>
          <w:strike w:val="0"/>
          <w:dstrike w:val="0"/>
          <w:outline w:val="0"/>
          <w:shadow w:val="0"/>
          <w:emboss w:val="0"/>
          <w:imprint w:val="0"/>
          <w:vanish w:val="0"/>
          <w:spacing w:val="0"/>
          <w:kern w:val="0"/>
          <w:position w:val="0"/>
          <w:szCs w:val="21"/>
          <w:vertAlign w:val="baseline"/>
          <w:lang w:val="en-US" w:eastAsia="zh-CN"/>
        </w:rPr>
        <w:t xml:space="preserve">3.6 </w:t>
      </w:r>
      <w:r>
        <w:rPr>
          <w:rFonts w:hint="eastAsia"/>
          <w:lang w:val="en-US" w:eastAsia="zh-CN"/>
        </w:rPr>
        <w:t>物项</w:t>
      </w:r>
      <w:r>
        <w:tab/>
      </w:r>
      <w:r>
        <w:fldChar w:fldCharType="begin"/>
      </w:r>
      <w:r>
        <w:instrText xml:space="preserve"> PAGEREF _Toc12636 </w:instrText>
      </w:r>
      <w:r>
        <w:fldChar w:fldCharType="separate"/>
      </w:r>
      <w:r>
        <w:t>8</w:t>
      </w:r>
      <w:r>
        <w:fldChar w:fldCharType="end"/>
      </w:r>
      <w:r>
        <w:rPr>
          <w:rFonts w:hint="default"/>
          <w:lang w:val="en-US"/>
        </w:rPr>
        <w:fldChar w:fldCharType="end"/>
      </w:r>
    </w:p>
    <w:p>
      <w:pPr>
        <w:pStyle w:val="11"/>
        <w:tabs>
          <w:tab w:val="right" w:leader="dot" w:pos="9354"/>
          <w:tab w:val="clear" w:pos="9241"/>
        </w:tabs>
      </w:pPr>
      <w:r>
        <w:rPr>
          <w:rFonts w:hint="default"/>
          <w:lang w:val="en-US"/>
        </w:rPr>
        <w:fldChar w:fldCharType="begin"/>
      </w:r>
      <w:r>
        <w:rPr>
          <w:rFonts w:hint="default"/>
          <w:lang w:val="en-US"/>
        </w:rPr>
        <w:instrText xml:space="preserve"> HYPERLINK \l _Toc11483 </w:instrText>
      </w:r>
      <w:r>
        <w:rPr>
          <w:rFonts w:hint="default"/>
          <w:lang w:val="en-US"/>
        </w:rPr>
        <w:fldChar w:fldCharType="separate"/>
      </w:r>
      <w:r>
        <w:rPr>
          <w:rFonts w:hint="eastAsia" w:ascii="黑体" w:hAnsi="Times New Roman" w:eastAsia="黑体" w:cs="Times New Roman"/>
          <w:bCs w:val="0"/>
          <w:i w:val="0"/>
          <w:iCs w:val="0"/>
          <w:caps w:val="0"/>
          <w:strike w:val="0"/>
          <w:dstrike w:val="0"/>
          <w:outline w:val="0"/>
          <w:shadow w:val="0"/>
          <w:emboss w:val="0"/>
          <w:imprint w:val="0"/>
          <w:vanish w:val="0"/>
          <w:spacing w:val="0"/>
          <w:kern w:val="0"/>
          <w:position w:val="0"/>
          <w:szCs w:val="21"/>
          <w:vertAlign w:val="baseline"/>
          <w:lang w:val="en-US" w:eastAsia="zh-CN"/>
        </w:rPr>
        <w:t xml:space="preserve">3.7 </w:t>
      </w:r>
      <w:r>
        <w:rPr>
          <w:rFonts w:hint="eastAsia"/>
          <w:highlight w:val="none"/>
          <w:lang w:val="en-US" w:eastAsia="zh-CN"/>
        </w:rPr>
        <w:t>施工机具</w:t>
      </w:r>
      <w:r>
        <w:tab/>
      </w:r>
      <w:r>
        <w:fldChar w:fldCharType="begin"/>
      </w:r>
      <w:r>
        <w:instrText xml:space="preserve"> PAGEREF _Toc11483 </w:instrText>
      </w:r>
      <w:r>
        <w:fldChar w:fldCharType="separate"/>
      </w:r>
      <w:r>
        <w:t>8</w:t>
      </w:r>
      <w:r>
        <w:fldChar w:fldCharType="end"/>
      </w:r>
      <w:r>
        <w:rPr>
          <w:rFonts w:hint="default"/>
          <w:lang w:val="en-US"/>
        </w:rPr>
        <w:fldChar w:fldCharType="end"/>
      </w:r>
    </w:p>
    <w:p>
      <w:pPr>
        <w:pStyle w:val="11"/>
        <w:tabs>
          <w:tab w:val="right" w:leader="dot" w:pos="9354"/>
          <w:tab w:val="clear" w:pos="9241"/>
        </w:tabs>
      </w:pPr>
      <w:r>
        <w:rPr>
          <w:rFonts w:hint="default"/>
          <w:lang w:val="en-US"/>
        </w:rPr>
        <w:fldChar w:fldCharType="begin"/>
      </w:r>
      <w:r>
        <w:rPr>
          <w:rFonts w:hint="default"/>
          <w:lang w:val="en-US"/>
        </w:rPr>
        <w:instrText xml:space="preserve"> HYPERLINK \l _Toc746 </w:instrText>
      </w:r>
      <w:r>
        <w:rPr>
          <w:rFonts w:hint="default"/>
          <w:lang w:val="en-US"/>
        </w:rPr>
        <w:fldChar w:fldCharType="separate"/>
      </w:r>
      <w:r>
        <w:rPr>
          <w:rFonts w:hint="eastAsia" w:ascii="黑体" w:hAnsi="Times New Roman" w:eastAsia="黑体" w:cs="Times New Roman"/>
          <w:bCs w:val="0"/>
          <w:i w:val="0"/>
          <w:iCs w:val="0"/>
          <w:caps w:val="0"/>
          <w:strike w:val="0"/>
          <w:dstrike w:val="0"/>
          <w:outline w:val="0"/>
          <w:shadow w:val="0"/>
          <w:emboss w:val="0"/>
          <w:imprint w:val="0"/>
          <w:vanish w:val="0"/>
          <w:spacing w:val="0"/>
          <w:kern w:val="0"/>
          <w:position w:val="0"/>
          <w:szCs w:val="21"/>
          <w:vertAlign w:val="baseline"/>
          <w:lang w:val="en-US" w:eastAsia="zh-CN"/>
        </w:rPr>
        <w:t xml:space="preserve">3.8 </w:t>
      </w:r>
      <w:r>
        <w:rPr>
          <w:rFonts w:hint="eastAsia"/>
          <w:highlight w:val="none"/>
          <w:lang w:val="en-US" w:eastAsia="zh-CN"/>
        </w:rPr>
        <w:t>危害因素</w:t>
      </w:r>
      <w:r>
        <w:tab/>
      </w:r>
      <w:r>
        <w:fldChar w:fldCharType="begin"/>
      </w:r>
      <w:r>
        <w:instrText xml:space="preserve"> PAGEREF _Toc746 </w:instrText>
      </w:r>
      <w:r>
        <w:fldChar w:fldCharType="separate"/>
      </w:r>
      <w:r>
        <w:t>8</w:t>
      </w:r>
      <w:r>
        <w:fldChar w:fldCharType="end"/>
      </w:r>
      <w:r>
        <w:rPr>
          <w:rFonts w:hint="default"/>
          <w:lang w:val="en-US"/>
        </w:rPr>
        <w:fldChar w:fldCharType="end"/>
      </w:r>
    </w:p>
    <w:p>
      <w:pPr>
        <w:pStyle w:val="11"/>
        <w:tabs>
          <w:tab w:val="right" w:leader="dot" w:pos="9354"/>
          <w:tab w:val="clear" w:pos="9241"/>
        </w:tabs>
      </w:pPr>
      <w:r>
        <w:rPr>
          <w:rFonts w:hint="default"/>
          <w:lang w:val="en-US"/>
        </w:rPr>
        <w:fldChar w:fldCharType="begin"/>
      </w:r>
      <w:r>
        <w:rPr>
          <w:rFonts w:hint="default"/>
          <w:lang w:val="en-US"/>
        </w:rPr>
        <w:instrText xml:space="preserve"> HYPERLINK \l _Toc23625 </w:instrText>
      </w:r>
      <w:r>
        <w:rPr>
          <w:rFonts w:hint="default"/>
          <w:lang w:val="en-US"/>
        </w:rPr>
        <w:fldChar w:fldCharType="separate"/>
      </w:r>
      <w:r>
        <w:rPr>
          <w:rFonts w:hint="eastAsia" w:ascii="黑体" w:hAnsi="Times New Roman" w:eastAsia="黑体" w:cs="Times New Roman"/>
          <w:bCs w:val="0"/>
          <w:i w:val="0"/>
          <w:iCs w:val="0"/>
          <w:caps w:val="0"/>
          <w:strike w:val="0"/>
          <w:dstrike w:val="0"/>
          <w:outline w:val="0"/>
          <w:shadow w:val="0"/>
          <w:emboss w:val="0"/>
          <w:imprint w:val="0"/>
          <w:vanish w:val="0"/>
          <w:spacing w:val="0"/>
          <w:kern w:val="0"/>
          <w:position w:val="0"/>
          <w:szCs w:val="21"/>
          <w:vertAlign w:val="baseline"/>
          <w:lang w:val="en-US" w:eastAsia="zh-CN"/>
        </w:rPr>
        <w:t xml:space="preserve">3.9 </w:t>
      </w:r>
      <w:r>
        <w:rPr>
          <w:rFonts w:hint="eastAsia"/>
          <w:highlight w:val="none"/>
          <w:lang w:val="en-US" w:eastAsia="zh-CN"/>
        </w:rPr>
        <w:t>风险分级管控</w:t>
      </w:r>
      <w:r>
        <w:tab/>
      </w:r>
      <w:r>
        <w:fldChar w:fldCharType="begin"/>
      </w:r>
      <w:r>
        <w:instrText xml:space="preserve"> PAGEREF _Toc23625 </w:instrText>
      </w:r>
      <w:r>
        <w:fldChar w:fldCharType="separate"/>
      </w:r>
      <w:r>
        <w:t>8</w:t>
      </w:r>
      <w:r>
        <w:fldChar w:fldCharType="end"/>
      </w:r>
      <w:r>
        <w:rPr>
          <w:rFonts w:hint="default"/>
          <w:lang w:val="en-US"/>
        </w:rPr>
        <w:fldChar w:fldCharType="end"/>
      </w:r>
    </w:p>
    <w:p>
      <w:pPr>
        <w:pStyle w:val="11"/>
        <w:tabs>
          <w:tab w:val="right" w:leader="dot" w:pos="9354"/>
          <w:tab w:val="clear" w:pos="9241"/>
        </w:tabs>
      </w:pPr>
      <w:r>
        <w:rPr>
          <w:rFonts w:hint="default"/>
          <w:lang w:val="en-US"/>
        </w:rPr>
        <w:fldChar w:fldCharType="begin"/>
      </w:r>
      <w:r>
        <w:rPr>
          <w:rFonts w:hint="default"/>
          <w:lang w:val="en-US"/>
        </w:rPr>
        <w:instrText xml:space="preserve"> HYPERLINK \l _Toc24052 </w:instrText>
      </w:r>
      <w:r>
        <w:rPr>
          <w:rFonts w:hint="default"/>
          <w:lang w:val="en-US"/>
        </w:rPr>
        <w:fldChar w:fldCharType="separate"/>
      </w:r>
      <w:r>
        <w:rPr>
          <w:rFonts w:hint="eastAsia" w:ascii="黑体" w:hAnsi="Times New Roman" w:eastAsia="黑体" w:cs="Times New Roman"/>
          <w:bCs w:val="0"/>
          <w:i w:val="0"/>
          <w:iCs w:val="0"/>
          <w:caps w:val="0"/>
          <w:strike w:val="0"/>
          <w:dstrike w:val="0"/>
          <w:outline w:val="0"/>
          <w:shadow w:val="0"/>
          <w:emboss w:val="0"/>
          <w:imprint w:val="0"/>
          <w:vanish w:val="0"/>
          <w:spacing w:val="0"/>
          <w:kern w:val="0"/>
          <w:position w:val="0"/>
          <w:szCs w:val="21"/>
          <w:vertAlign w:val="baseline"/>
          <w:lang w:val="en-US" w:eastAsia="zh-CN"/>
        </w:rPr>
        <w:t xml:space="preserve">3.10 </w:t>
      </w:r>
      <w:r>
        <w:rPr>
          <w:rFonts w:hint="eastAsia"/>
          <w:lang w:val="en-US" w:eastAsia="zh-CN"/>
        </w:rPr>
        <w:t>安全生产事故隐患</w:t>
      </w:r>
      <w:r>
        <w:tab/>
      </w:r>
      <w:r>
        <w:fldChar w:fldCharType="begin"/>
      </w:r>
      <w:r>
        <w:instrText xml:space="preserve"> PAGEREF _Toc24052 </w:instrText>
      </w:r>
      <w:r>
        <w:fldChar w:fldCharType="separate"/>
      </w:r>
      <w:r>
        <w:t>8</w:t>
      </w:r>
      <w:r>
        <w:fldChar w:fldCharType="end"/>
      </w:r>
      <w:r>
        <w:rPr>
          <w:rFonts w:hint="default"/>
          <w:lang w:val="en-US"/>
        </w:rPr>
        <w:fldChar w:fldCharType="end"/>
      </w:r>
    </w:p>
    <w:p>
      <w:pPr>
        <w:pStyle w:val="17"/>
        <w:tabs>
          <w:tab w:val="right" w:leader="dot" w:pos="9354"/>
          <w:tab w:val="clear" w:pos="9242"/>
        </w:tabs>
      </w:pPr>
      <w:r>
        <w:rPr>
          <w:rFonts w:hint="default"/>
          <w:lang w:val="en-US"/>
        </w:rPr>
        <w:fldChar w:fldCharType="begin"/>
      </w:r>
      <w:r>
        <w:rPr>
          <w:rFonts w:hint="default"/>
          <w:lang w:val="en-US"/>
        </w:rPr>
        <w:instrText xml:space="preserve"> HYPERLINK \l _Toc3660 </w:instrText>
      </w:r>
      <w:r>
        <w:rPr>
          <w:rFonts w:hint="default"/>
          <w:lang w:val="en-US"/>
        </w:rPr>
        <w:fldChar w:fldCharType="separate"/>
      </w:r>
      <w:r>
        <w:rPr>
          <w:rFonts w:hint="eastAsia" w:ascii="黑体" w:hAnsi="Times New Roman" w:eastAsia="黑体"/>
          <w:i w:val="0"/>
          <w:szCs w:val="21"/>
          <w:lang w:val="en-US" w:eastAsia="zh-CN"/>
        </w:rPr>
        <w:t xml:space="preserve">4 </w:t>
      </w:r>
      <w:r>
        <w:rPr>
          <w:rFonts w:hint="eastAsia"/>
          <w:szCs w:val="22"/>
          <w:lang w:val="en-US" w:eastAsia="zh-CN"/>
        </w:rPr>
        <w:t>基本规定</w:t>
      </w:r>
      <w:r>
        <w:tab/>
      </w:r>
      <w:r>
        <w:fldChar w:fldCharType="begin"/>
      </w:r>
      <w:r>
        <w:instrText xml:space="preserve"> PAGEREF _Toc3660 </w:instrText>
      </w:r>
      <w:r>
        <w:fldChar w:fldCharType="separate"/>
      </w:r>
      <w:r>
        <w:t>8</w:t>
      </w:r>
      <w:r>
        <w:fldChar w:fldCharType="end"/>
      </w:r>
      <w:r>
        <w:rPr>
          <w:rFonts w:hint="default"/>
          <w:lang w:val="en-US"/>
        </w:rPr>
        <w:fldChar w:fldCharType="end"/>
      </w:r>
    </w:p>
    <w:p>
      <w:pPr>
        <w:pStyle w:val="11"/>
        <w:tabs>
          <w:tab w:val="right" w:leader="dot" w:pos="9354"/>
          <w:tab w:val="clear" w:pos="9241"/>
        </w:tabs>
      </w:pPr>
      <w:r>
        <w:rPr>
          <w:rFonts w:hint="default"/>
          <w:lang w:val="en-US"/>
        </w:rPr>
        <w:fldChar w:fldCharType="begin"/>
      </w:r>
      <w:r>
        <w:rPr>
          <w:rFonts w:hint="default"/>
          <w:lang w:val="en-US"/>
        </w:rPr>
        <w:instrText xml:space="preserve"> HYPERLINK \l _Toc299 </w:instrText>
      </w:r>
      <w:r>
        <w:rPr>
          <w:rFonts w:hint="default"/>
          <w:lang w:val="en-US"/>
        </w:rPr>
        <w:fldChar w:fldCharType="separate"/>
      </w:r>
      <w:r>
        <w:rPr>
          <w:rFonts w:hint="eastAsia" w:ascii="黑体" w:hAnsi="Times New Roman" w:eastAsia="黑体" w:cs="Times New Roman"/>
          <w:bCs w:val="0"/>
          <w:i w:val="0"/>
          <w:iCs w:val="0"/>
          <w:caps w:val="0"/>
          <w:strike w:val="0"/>
          <w:dstrike w:val="0"/>
          <w:outline w:val="0"/>
          <w:shadow w:val="0"/>
          <w:emboss w:val="0"/>
          <w:imprint w:val="0"/>
          <w:vanish w:val="0"/>
          <w:spacing w:val="0"/>
          <w:kern w:val="0"/>
          <w:position w:val="0"/>
          <w:szCs w:val="21"/>
          <w:vertAlign w:val="baseline"/>
          <w:lang w:val="en-US" w:eastAsia="zh-CN"/>
        </w:rPr>
        <w:t xml:space="preserve">4.1 </w:t>
      </w:r>
      <w:r>
        <w:rPr>
          <w:rFonts w:hint="eastAsia"/>
        </w:rPr>
        <w:t>安全与风险</w:t>
      </w:r>
      <w:r>
        <w:rPr>
          <w:rFonts w:hint="eastAsia"/>
          <w:lang w:val="en-US" w:eastAsia="zh-CN"/>
        </w:rPr>
        <w:t>方针</w:t>
      </w:r>
      <w:r>
        <w:tab/>
      </w:r>
      <w:r>
        <w:fldChar w:fldCharType="begin"/>
      </w:r>
      <w:r>
        <w:instrText xml:space="preserve"> PAGEREF _Toc299 </w:instrText>
      </w:r>
      <w:r>
        <w:fldChar w:fldCharType="separate"/>
      </w:r>
      <w:r>
        <w:t>8</w:t>
      </w:r>
      <w:r>
        <w:fldChar w:fldCharType="end"/>
      </w:r>
      <w:r>
        <w:rPr>
          <w:rFonts w:hint="default"/>
          <w:lang w:val="en-US"/>
        </w:rPr>
        <w:fldChar w:fldCharType="end"/>
      </w:r>
    </w:p>
    <w:p>
      <w:pPr>
        <w:pStyle w:val="11"/>
        <w:tabs>
          <w:tab w:val="right" w:leader="dot" w:pos="9354"/>
          <w:tab w:val="clear" w:pos="9241"/>
        </w:tabs>
      </w:pPr>
      <w:r>
        <w:rPr>
          <w:rFonts w:hint="default"/>
          <w:lang w:val="en-US"/>
        </w:rPr>
        <w:fldChar w:fldCharType="begin"/>
      </w:r>
      <w:r>
        <w:rPr>
          <w:rFonts w:hint="default"/>
          <w:lang w:val="en-US"/>
        </w:rPr>
        <w:instrText xml:space="preserve"> HYPERLINK \l _Toc28938 </w:instrText>
      </w:r>
      <w:r>
        <w:rPr>
          <w:rFonts w:hint="default"/>
          <w:lang w:val="en-US"/>
        </w:rPr>
        <w:fldChar w:fldCharType="separate"/>
      </w:r>
      <w:r>
        <w:rPr>
          <w:rFonts w:hint="eastAsia" w:ascii="黑体" w:hAnsi="Times New Roman" w:eastAsia="黑体" w:cs="Times New Roman"/>
          <w:bCs w:val="0"/>
          <w:i w:val="0"/>
          <w:iCs w:val="0"/>
          <w:caps w:val="0"/>
          <w:strike w:val="0"/>
          <w:dstrike w:val="0"/>
          <w:outline w:val="0"/>
          <w:shadow w:val="0"/>
          <w:emboss w:val="0"/>
          <w:imprint w:val="0"/>
          <w:vanish w:val="0"/>
          <w:spacing w:val="0"/>
          <w:kern w:val="0"/>
          <w:position w:val="0"/>
          <w:szCs w:val="21"/>
          <w:vertAlign w:val="baseline"/>
          <w:lang w:val="en-US" w:eastAsia="zh-CN"/>
        </w:rPr>
        <w:t xml:space="preserve">4.2 </w:t>
      </w:r>
      <w:r>
        <w:rPr>
          <w:rFonts w:hint="eastAsia"/>
        </w:rPr>
        <w:t>安全与风险</w:t>
      </w:r>
      <w:r>
        <w:rPr>
          <w:rFonts w:hint="eastAsia"/>
          <w:lang w:val="en-US" w:eastAsia="zh-CN"/>
        </w:rPr>
        <w:t>目标指标</w:t>
      </w:r>
      <w:r>
        <w:tab/>
      </w:r>
      <w:r>
        <w:fldChar w:fldCharType="begin"/>
      </w:r>
      <w:r>
        <w:instrText xml:space="preserve"> PAGEREF _Toc28938 </w:instrText>
      </w:r>
      <w:r>
        <w:fldChar w:fldCharType="separate"/>
      </w:r>
      <w:r>
        <w:t>9</w:t>
      </w:r>
      <w:r>
        <w:fldChar w:fldCharType="end"/>
      </w:r>
      <w:r>
        <w:rPr>
          <w:rFonts w:hint="default"/>
          <w:lang w:val="en-US"/>
        </w:rPr>
        <w:fldChar w:fldCharType="end"/>
      </w:r>
    </w:p>
    <w:p>
      <w:pPr>
        <w:pStyle w:val="11"/>
        <w:tabs>
          <w:tab w:val="right" w:leader="dot" w:pos="9354"/>
          <w:tab w:val="clear" w:pos="9241"/>
        </w:tabs>
      </w:pPr>
      <w:r>
        <w:rPr>
          <w:rFonts w:hint="default"/>
          <w:lang w:val="en-US"/>
        </w:rPr>
        <w:fldChar w:fldCharType="begin"/>
      </w:r>
      <w:r>
        <w:rPr>
          <w:rFonts w:hint="default"/>
          <w:lang w:val="en-US"/>
        </w:rPr>
        <w:instrText xml:space="preserve"> HYPERLINK \l _Toc2925 </w:instrText>
      </w:r>
      <w:r>
        <w:rPr>
          <w:rFonts w:hint="default"/>
          <w:lang w:val="en-US"/>
        </w:rPr>
        <w:fldChar w:fldCharType="separate"/>
      </w:r>
      <w:r>
        <w:rPr>
          <w:rFonts w:hint="eastAsia"/>
          <w:lang w:val="en-US" w:eastAsia="zh-CN"/>
        </w:rPr>
        <w:t>4.2.1设立</w:t>
      </w:r>
      <w:r>
        <w:tab/>
      </w:r>
      <w:r>
        <w:fldChar w:fldCharType="begin"/>
      </w:r>
      <w:r>
        <w:instrText xml:space="preserve"> PAGEREF _Toc2925 </w:instrText>
      </w:r>
      <w:r>
        <w:fldChar w:fldCharType="separate"/>
      </w:r>
      <w:r>
        <w:t>9</w:t>
      </w:r>
      <w:r>
        <w:fldChar w:fldCharType="end"/>
      </w:r>
      <w:r>
        <w:rPr>
          <w:rFonts w:hint="default"/>
          <w:lang w:val="en-US"/>
        </w:rPr>
        <w:fldChar w:fldCharType="end"/>
      </w:r>
    </w:p>
    <w:p>
      <w:pPr>
        <w:pStyle w:val="11"/>
        <w:tabs>
          <w:tab w:val="right" w:leader="dot" w:pos="9354"/>
          <w:tab w:val="clear" w:pos="9241"/>
        </w:tabs>
      </w:pPr>
      <w:r>
        <w:rPr>
          <w:rFonts w:hint="default"/>
          <w:lang w:val="en-US"/>
        </w:rPr>
        <w:fldChar w:fldCharType="begin"/>
      </w:r>
      <w:r>
        <w:rPr>
          <w:rFonts w:hint="default"/>
          <w:lang w:val="en-US"/>
        </w:rPr>
        <w:instrText xml:space="preserve"> HYPERLINK \l _Toc29678 </w:instrText>
      </w:r>
      <w:r>
        <w:rPr>
          <w:rFonts w:hint="default"/>
          <w:lang w:val="en-US"/>
        </w:rPr>
        <w:fldChar w:fldCharType="separate"/>
      </w:r>
      <w:r>
        <w:rPr>
          <w:rFonts w:hint="eastAsia"/>
          <w:lang w:val="en-US" w:eastAsia="zh-CN"/>
        </w:rPr>
        <w:t>4.2.2实现</w:t>
      </w:r>
      <w:r>
        <w:tab/>
      </w:r>
      <w:r>
        <w:fldChar w:fldCharType="begin"/>
      </w:r>
      <w:r>
        <w:instrText xml:space="preserve"> PAGEREF _Toc29678 </w:instrText>
      </w:r>
      <w:r>
        <w:fldChar w:fldCharType="separate"/>
      </w:r>
      <w:r>
        <w:t>9</w:t>
      </w:r>
      <w:r>
        <w:fldChar w:fldCharType="end"/>
      </w:r>
      <w:r>
        <w:rPr>
          <w:rFonts w:hint="default"/>
          <w:lang w:val="en-US"/>
        </w:rPr>
        <w:fldChar w:fldCharType="end"/>
      </w:r>
    </w:p>
    <w:p>
      <w:pPr>
        <w:pStyle w:val="11"/>
        <w:tabs>
          <w:tab w:val="right" w:leader="dot" w:pos="9354"/>
          <w:tab w:val="clear" w:pos="9241"/>
        </w:tabs>
      </w:pPr>
      <w:r>
        <w:rPr>
          <w:rFonts w:hint="default"/>
          <w:lang w:val="en-US"/>
        </w:rPr>
        <w:fldChar w:fldCharType="begin"/>
      </w:r>
      <w:r>
        <w:rPr>
          <w:rFonts w:hint="default"/>
          <w:lang w:val="en-US"/>
        </w:rPr>
        <w:instrText xml:space="preserve"> HYPERLINK \l _Toc29276 </w:instrText>
      </w:r>
      <w:r>
        <w:rPr>
          <w:rFonts w:hint="default"/>
          <w:lang w:val="en-US"/>
        </w:rPr>
        <w:fldChar w:fldCharType="separate"/>
      </w:r>
      <w:r>
        <w:rPr>
          <w:rFonts w:hint="eastAsia" w:ascii="黑体" w:hAnsi="Times New Roman" w:eastAsia="黑体" w:cs="Times New Roman"/>
          <w:bCs w:val="0"/>
          <w:i w:val="0"/>
          <w:iCs w:val="0"/>
          <w:caps w:val="0"/>
          <w:strike w:val="0"/>
          <w:dstrike w:val="0"/>
          <w:outline w:val="0"/>
          <w:shadow w:val="0"/>
          <w:emboss w:val="0"/>
          <w:imprint w:val="0"/>
          <w:vanish w:val="0"/>
          <w:spacing w:val="0"/>
          <w:kern w:val="0"/>
          <w:position w:val="0"/>
          <w:szCs w:val="21"/>
          <w:vertAlign w:val="baseline"/>
          <w:lang w:val="en-US" w:eastAsia="zh-CN"/>
        </w:rPr>
        <w:t xml:space="preserve">4.3 </w:t>
      </w:r>
      <w:r>
        <w:rPr>
          <w:rFonts w:hint="eastAsia"/>
          <w:lang w:val="en-US" w:eastAsia="zh-CN"/>
        </w:rPr>
        <w:t>合规申明</w:t>
      </w:r>
      <w:r>
        <w:tab/>
      </w:r>
      <w:r>
        <w:fldChar w:fldCharType="begin"/>
      </w:r>
      <w:r>
        <w:instrText xml:space="preserve"> PAGEREF _Toc29276 </w:instrText>
      </w:r>
      <w:r>
        <w:fldChar w:fldCharType="separate"/>
      </w:r>
      <w:r>
        <w:t>9</w:t>
      </w:r>
      <w:r>
        <w:fldChar w:fldCharType="end"/>
      </w:r>
      <w:r>
        <w:rPr>
          <w:rFonts w:hint="default"/>
          <w:lang w:val="en-US"/>
        </w:rPr>
        <w:fldChar w:fldCharType="end"/>
      </w:r>
    </w:p>
    <w:p>
      <w:pPr>
        <w:pStyle w:val="11"/>
        <w:tabs>
          <w:tab w:val="right" w:leader="dot" w:pos="9354"/>
          <w:tab w:val="clear" w:pos="9241"/>
        </w:tabs>
      </w:pPr>
      <w:r>
        <w:rPr>
          <w:rFonts w:hint="default"/>
          <w:lang w:val="en-US"/>
        </w:rPr>
        <w:fldChar w:fldCharType="begin"/>
      </w:r>
      <w:r>
        <w:rPr>
          <w:rFonts w:hint="default"/>
          <w:lang w:val="en-US"/>
        </w:rPr>
        <w:instrText xml:space="preserve"> HYPERLINK \l _Toc29300 </w:instrText>
      </w:r>
      <w:r>
        <w:rPr>
          <w:rFonts w:hint="default"/>
          <w:lang w:val="en-US"/>
        </w:rPr>
        <w:fldChar w:fldCharType="separate"/>
      </w:r>
      <w:r>
        <w:rPr>
          <w:rFonts w:hint="eastAsia"/>
          <w:lang w:val="en-US" w:eastAsia="zh-CN"/>
        </w:rPr>
        <w:t>4.3.1合规义务</w:t>
      </w:r>
      <w:r>
        <w:tab/>
      </w:r>
      <w:r>
        <w:fldChar w:fldCharType="begin"/>
      </w:r>
      <w:r>
        <w:instrText xml:space="preserve"> PAGEREF _Toc29300 </w:instrText>
      </w:r>
      <w:r>
        <w:fldChar w:fldCharType="separate"/>
      </w:r>
      <w:r>
        <w:t>9</w:t>
      </w:r>
      <w:r>
        <w:fldChar w:fldCharType="end"/>
      </w:r>
      <w:r>
        <w:rPr>
          <w:rFonts w:hint="default"/>
          <w:lang w:val="en-US"/>
        </w:rPr>
        <w:fldChar w:fldCharType="end"/>
      </w:r>
    </w:p>
    <w:p>
      <w:pPr>
        <w:pStyle w:val="11"/>
        <w:tabs>
          <w:tab w:val="right" w:leader="dot" w:pos="9354"/>
          <w:tab w:val="clear" w:pos="9241"/>
        </w:tabs>
      </w:pPr>
      <w:r>
        <w:rPr>
          <w:rFonts w:hint="default"/>
          <w:lang w:val="en-US"/>
        </w:rPr>
        <w:fldChar w:fldCharType="begin"/>
      </w:r>
      <w:r>
        <w:rPr>
          <w:rFonts w:hint="default"/>
          <w:lang w:val="en-US"/>
        </w:rPr>
        <w:instrText xml:space="preserve"> HYPERLINK \l _Toc22132 </w:instrText>
      </w:r>
      <w:r>
        <w:rPr>
          <w:rFonts w:hint="default"/>
          <w:lang w:val="en-US"/>
        </w:rPr>
        <w:fldChar w:fldCharType="separate"/>
      </w:r>
      <w:r>
        <w:rPr>
          <w:rFonts w:hint="eastAsia"/>
          <w:lang w:val="en-US" w:eastAsia="zh-CN"/>
        </w:rPr>
        <w:t>4.3.2合规性评价</w:t>
      </w:r>
      <w:r>
        <w:tab/>
      </w:r>
      <w:r>
        <w:fldChar w:fldCharType="begin"/>
      </w:r>
      <w:r>
        <w:instrText xml:space="preserve"> PAGEREF _Toc22132 </w:instrText>
      </w:r>
      <w:r>
        <w:fldChar w:fldCharType="separate"/>
      </w:r>
      <w:r>
        <w:t>10</w:t>
      </w:r>
      <w:r>
        <w:fldChar w:fldCharType="end"/>
      </w:r>
      <w:r>
        <w:rPr>
          <w:rFonts w:hint="default"/>
          <w:lang w:val="en-US"/>
        </w:rPr>
        <w:fldChar w:fldCharType="end"/>
      </w:r>
    </w:p>
    <w:p>
      <w:pPr>
        <w:pStyle w:val="11"/>
        <w:tabs>
          <w:tab w:val="right" w:leader="dot" w:pos="9354"/>
          <w:tab w:val="clear" w:pos="9241"/>
        </w:tabs>
      </w:pPr>
      <w:r>
        <w:rPr>
          <w:rFonts w:hint="default"/>
          <w:lang w:val="en-US"/>
        </w:rPr>
        <w:fldChar w:fldCharType="begin"/>
      </w:r>
      <w:r>
        <w:rPr>
          <w:rFonts w:hint="default"/>
          <w:lang w:val="en-US"/>
        </w:rPr>
        <w:instrText xml:space="preserve"> HYPERLINK \l _Toc14925 </w:instrText>
      </w:r>
      <w:r>
        <w:rPr>
          <w:rFonts w:hint="default"/>
          <w:lang w:val="en-US"/>
        </w:rPr>
        <w:fldChar w:fldCharType="separate"/>
      </w:r>
      <w:r>
        <w:rPr>
          <w:rFonts w:hint="eastAsia" w:ascii="黑体" w:hAnsi="Times New Roman" w:eastAsia="黑体" w:cs="Times New Roman"/>
          <w:bCs w:val="0"/>
          <w:i w:val="0"/>
          <w:iCs w:val="0"/>
          <w:caps w:val="0"/>
          <w:strike w:val="0"/>
          <w:dstrike w:val="0"/>
          <w:outline w:val="0"/>
          <w:shadow w:val="0"/>
          <w:emboss w:val="0"/>
          <w:imprint w:val="0"/>
          <w:vanish w:val="0"/>
          <w:spacing w:val="0"/>
          <w:kern w:val="0"/>
          <w:position w:val="0"/>
          <w:szCs w:val="21"/>
          <w:vertAlign w:val="baseline"/>
          <w:lang w:val="en-US" w:eastAsia="zh-CN"/>
        </w:rPr>
        <w:t xml:space="preserve">4.4 </w:t>
      </w:r>
      <w:r>
        <w:rPr>
          <w:rFonts w:hint="eastAsia"/>
          <w:lang w:val="en-US" w:eastAsia="zh-CN"/>
        </w:rPr>
        <w:t>管理体系建立与运行</w:t>
      </w:r>
      <w:r>
        <w:tab/>
      </w:r>
      <w:r>
        <w:fldChar w:fldCharType="begin"/>
      </w:r>
      <w:r>
        <w:instrText xml:space="preserve"> PAGEREF _Toc14925 </w:instrText>
      </w:r>
      <w:r>
        <w:fldChar w:fldCharType="separate"/>
      </w:r>
      <w:r>
        <w:t>10</w:t>
      </w:r>
      <w:r>
        <w:fldChar w:fldCharType="end"/>
      </w:r>
      <w:r>
        <w:rPr>
          <w:rFonts w:hint="default"/>
          <w:lang w:val="en-US"/>
        </w:rPr>
        <w:fldChar w:fldCharType="end"/>
      </w:r>
    </w:p>
    <w:p>
      <w:pPr>
        <w:pStyle w:val="11"/>
        <w:tabs>
          <w:tab w:val="right" w:leader="dot" w:pos="9354"/>
          <w:tab w:val="clear" w:pos="9241"/>
        </w:tabs>
      </w:pPr>
      <w:r>
        <w:rPr>
          <w:rFonts w:hint="default"/>
          <w:lang w:val="en-US"/>
        </w:rPr>
        <w:fldChar w:fldCharType="begin"/>
      </w:r>
      <w:r>
        <w:rPr>
          <w:rFonts w:hint="default"/>
          <w:lang w:val="en-US"/>
        </w:rPr>
        <w:instrText xml:space="preserve"> HYPERLINK \l _Toc26917 </w:instrText>
      </w:r>
      <w:r>
        <w:rPr>
          <w:rFonts w:hint="default"/>
          <w:lang w:val="en-US"/>
        </w:rPr>
        <w:fldChar w:fldCharType="separate"/>
      </w:r>
      <w:r>
        <w:rPr>
          <w:rFonts w:hint="eastAsia"/>
          <w:lang w:val="en-US" w:eastAsia="zh-CN"/>
        </w:rPr>
        <w:t>4.4.1环境分析</w:t>
      </w:r>
      <w:r>
        <w:tab/>
      </w:r>
      <w:r>
        <w:fldChar w:fldCharType="begin"/>
      </w:r>
      <w:r>
        <w:instrText xml:space="preserve"> PAGEREF _Toc26917 </w:instrText>
      </w:r>
      <w:r>
        <w:fldChar w:fldCharType="separate"/>
      </w:r>
      <w:r>
        <w:t>10</w:t>
      </w:r>
      <w:r>
        <w:fldChar w:fldCharType="end"/>
      </w:r>
      <w:r>
        <w:rPr>
          <w:rFonts w:hint="default"/>
          <w:lang w:val="en-US"/>
        </w:rPr>
        <w:fldChar w:fldCharType="end"/>
      </w:r>
    </w:p>
    <w:p>
      <w:pPr>
        <w:pStyle w:val="11"/>
        <w:tabs>
          <w:tab w:val="right" w:leader="dot" w:pos="9354"/>
          <w:tab w:val="clear" w:pos="9241"/>
        </w:tabs>
      </w:pPr>
      <w:r>
        <w:rPr>
          <w:rFonts w:hint="default"/>
          <w:lang w:val="en-US"/>
        </w:rPr>
        <w:fldChar w:fldCharType="begin"/>
      </w:r>
      <w:r>
        <w:rPr>
          <w:rFonts w:hint="default"/>
          <w:lang w:val="en-US"/>
        </w:rPr>
        <w:instrText xml:space="preserve"> HYPERLINK \l _Toc28579 </w:instrText>
      </w:r>
      <w:r>
        <w:rPr>
          <w:rFonts w:hint="default"/>
          <w:lang w:val="en-US"/>
        </w:rPr>
        <w:fldChar w:fldCharType="separate"/>
      </w:r>
      <w:r>
        <w:rPr>
          <w:rFonts w:hint="eastAsia"/>
          <w:lang w:val="en-US" w:eastAsia="zh-CN"/>
        </w:rPr>
        <w:t>4.4.2策划与建立</w:t>
      </w:r>
      <w:r>
        <w:tab/>
      </w:r>
      <w:r>
        <w:fldChar w:fldCharType="begin"/>
      </w:r>
      <w:r>
        <w:instrText xml:space="preserve"> PAGEREF _Toc28579 </w:instrText>
      </w:r>
      <w:r>
        <w:fldChar w:fldCharType="separate"/>
      </w:r>
      <w:r>
        <w:t>10</w:t>
      </w:r>
      <w:r>
        <w:fldChar w:fldCharType="end"/>
      </w:r>
      <w:r>
        <w:rPr>
          <w:rFonts w:hint="default"/>
          <w:lang w:val="en-US"/>
        </w:rPr>
        <w:fldChar w:fldCharType="end"/>
      </w:r>
    </w:p>
    <w:p>
      <w:pPr>
        <w:pStyle w:val="11"/>
        <w:tabs>
          <w:tab w:val="right" w:leader="dot" w:pos="9354"/>
          <w:tab w:val="clear" w:pos="9241"/>
        </w:tabs>
      </w:pPr>
      <w:r>
        <w:rPr>
          <w:rFonts w:hint="default"/>
          <w:lang w:val="en-US"/>
        </w:rPr>
        <w:fldChar w:fldCharType="begin"/>
      </w:r>
      <w:r>
        <w:rPr>
          <w:rFonts w:hint="default"/>
          <w:lang w:val="en-US"/>
        </w:rPr>
        <w:instrText xml:space="preserve"> HYPERLINK \l _Toc31874 </w:instrText>
      </w:r>
      <w:r>
        <w:rPr>
          <w:rFonts w:hint="default"/>
          <w:lang w:val="en-US"/>
        </w:rPr>
        <w:fldChar w:fldCharType="separate"/>
      </w:r>
      <w:r>
        <w:rPr>
          <w:rFonts w:hint="eastAsia" w:ascii="黑体" w:hAnsi="Times New Roman" w:eastAsia="黑体" w:cs="Times New Roman"/>
          <w:bCs w:val="0"/>
          <w:i w:val="0"/>
          <w:iCs w:val="0"/>
          <w:caps w:val="0"/>
          <w:strike w:val="0"/>
          <w:dstrike w:val="0"/>
          <w:outline w:val="0"/>
          <w:shadow w:val="0"/>
          <w:emboss w:val="0"/>
          <w:imprint w:val="0"/>
          <w:vanish w:val="0"/>
          <w:spacing w:val="0"/>
          <w:kern w:val="0"/>
          <w:position w:val="0"/>
          <w:szCs w:val="21"/>
          <w:vertAlign w:val="baseline"/>
          <w:lang w:val="en-US" w:eastAsia="zh-CN"/>
        </w:rPr>
        <w:t xml:space="preserve">4.5 </w:t>
      </w:r>
      <w:r>
        <w:rPr>
          <w:rFonts w:hint="eastAsia"/>
          <w:lang w:val="en-US" w:eastAsia="zh-CN"/>
        </w:rPr>
        <w:t>实施和改进</w:t>
      </w:r>
      <w:r>
        <w:tab/>
      </w:r>
      <w:r>
        <w:fldChar w:fldCharType="begin"/>
      </w:r>
      <w:r>
        <w:instrText xml:space="preserve"> PAGEREF _Toc31874 </w:instrText>
      </w:r>
      <w:r>
        <w:fldChar w:fldCharType="separate"/>
      </w:r>
      <w:r>
        <w:t>10</w:t>
      </w:r>
      <w:r>
        <w:fldChar w:fldCharType="end"/>
      </w:r>
      <w:r>
        <w:rPr>
          <w:rFonts w:hint="default"/>
          <w:lang w:val="en-US"/>
        </w:rPr>
        <w:fldChar w:fldCharType="end"/>
      </w:r>
    </w:p>
    <w:p>
      <w:pPr>
        <w:pStyle w:val="11"/>
        <w:tabs>
          <w:tab w:val="right" w:leader="dot" w:pos="9354"/>
          <w:tab w:val="clear" w:pos="9241"/>
        </w:tabs>
      </w:pPr>
      <w:r>
        <w:rPr>
          <w:rFonts w:hint="default"/>
          <w:lang w:val="en-US"/>
        </w:rPr>
        <w:fldChar w:fldCharType="begin"/>
      </w:r>
      <w:r>
        <w:rPr>
          <w:rFonts w:hint="default"/>
          <w:lang w:val="en-US"/>
        </w:rPr>
        <w:instrText xml:space="preserve"> HYPERLINK \l _Toc10378 </w:instrText>
      </w:r>
      <w:r>
        <w:rPr>
          <w:rFonts w:hint="default"/>
          <w:lang w:val="en-US"/>
        </w:rPr>
        <w:fldChar w:fldCharType="separate"/>
      </w:r>
      <w:r>
        <w:rPr>
          <w:rFonts w:hint="eastAsia" w:ascii="黑体" w:hAnsi="Times New Roman" w:eastAsia="黑体" w:cs="Times New Roman"/>
          <w:bCs w:val="0"/>
          <w:i w:val="0"/>
          <w:iCs w:val="0"/>
          <w:caps w:val="0"/>
          <w:strike w:val="0"/>
          <w:dstrike w:val="0"/>
          <w:outline w:val="0"/>
          <w:shadow w:val="0"/>
          <w:emboss w:val="0"/>
          <w:imprint w:val="0"/>
          <w:vanish w:val="0"/>
          <w:spacing w:val="0"/>
          <w:kern w:val="0"/>
          <w:position w:val="0"/>
          <w:szCs w:val="21"/>
          <w:vertAlign w:val="baseline"/>
          <w:lang w:val="en-US" w:eastAsia="zh-CN"/>
        </w:rPr>
        <w:t xml:space="preserve">4.6 </w:t>
      </w:r>
      <w:r>
        <w:rPr>
          <w:rFonts w:hint="eastAsia"/>
          <w:lang w:val="en-US" w:eastAsia="zh-CN"/>
        </w:rPr>
        <w:t>成文信息</w:t>
      </w:r>
      <w:r>
        <w:tab/>
      </w:r>
      <w:r>
        <w:fldChar w:fldCharType="begin"/>
      </w:r>
      <w:r>
        <w:instrText xml:space="preserve"> PAGEREF _Toc10378 </w:instrText>
      </w:r>
      <w:r>
        <w:fldChar w:fldCharType="separate"/>
      </w:r>
      <w:r>
        <w:t>11</w:t>
      </w:r>
      <w:r>
        <w:fldChar w:fldCharType="end"/>
      </w:r>
      <w:r>
        <w:rPr>
          <w:rFonts w:hint="default"/>
          <w:lang w:val="en-US"/>
        </w:rPr>
        <w:fldChar w:fldCharType="end"/>
      </w:r>
    </w:p>
    <w:p>
      <w:pPr>
        <w:pStyle w:val="11"/>
        <w:tabs>
          <w:tab w:val="right" w:leader="dot" w:pos="9354"/>
          <w:tab w:val="clear" w:pos="9241"/>
        </w:tabs>
      </w:pPr>
      <w:r>
        <w:rPr>
          <w:rFonts w:hint="default"/>
          <w:lang w:val="en-US"/>
        </w:rPr>
        <w:fldChar w:fldCharType="begin"/>
      </w:r>
      <w:r>
        <w:rPr>
          <w:rFonts w:hint="default"/>
          <w:lang w:val="en-US"/>
        </w:rPr>
        <w:instrText xml:space="preserve"> HYPERLINK \l _Toc20854 </w:instrText>
      </w:r>
      <w:r>
        <w:rPr>
          <w:rFonts w:hint="default"/>
          <w:lang w:val="en-US"/>
        </w:rPr>
        <w:fldChar w:fldCharType="separate"/>
      </w:r>
      <w:r>
        <w:rPr>
          <w:rFonts w:hint="eastAsia"/>
          <w:lang w:val="en-US" w:eastAsia="zh-CN"/>
        </w:rPr>
        <w:t>4.6.1创建和更新</w:t>
      </w:r>
      <w:r>
        <w:tab/>
      </w:r>
      <w:r>
        <w:fldChar w:fldCharType="begin"/>
      </w:r>
      <w:r>
        <w:instrText xml:space="preserve"> PAGEREF _Toc20854 </w:instrText>
      </w:r>
      <w:r>
        <w:fldChar w:fldCharType="separate"/>
      </w:r>
      <w:r>
        <w:t>11</w:t>
      </w:r>
      <w:r>
        <w:fldChar w:fldCharType="end"/>
      </w:r>
      <w:r>
        <w:rPr>
          <w:rFonts w:hint="default"/>
          <w:lang w:val="en-US"/>
        </w:rPr>
        <w:fldChar w:fldCharType="end"/>
      </w:r>
    </w:p>
    <w:p>
      <w:pPr>
        <w:pStyle w:val="11"/>
        <w:tabs>
          <w:tab w:val="right" w:leader="dot" w:pos="9354"/>
          <w:tab w:val="clear" w:pos="9241"/>
        </w:tabs>
      </w:pPr>
      <w:r>
        <w:rPr>
          <w:rFonts w:hint="default"/>
          <w:lang w:val="en-US"/>
        </w:rPr>
        <w:fldChar w:fldCharType="begin"/>
      </w:r>
      <w:r>
        <w:rPr>
          <w:rFonts w:hint="default"/>
          <w:lang w:val="en-US"/>
        </w:rPr>
        <w:instrText xml:space="preserve"> HYPERLINK \l _Toc8410 </w:instrText>
      </w:r>
      <w:r>
        <w:rPr>
          <w:rFonts w:hint="default"/>
          <w:lang w:val="en-US"/>
        </w:rPr>
        <w:fldChar w:fldCharType="separate"/>
      </w:r>
      <w:r>
        <w:rPr>
          <w:rFonts w:hint="eastAsia"/>
          <w:lang w:val="en-US" w:eastAsia="zh-CN"/>
        </w:rPr>
        <w:t>4.6.2管控</w:t>
      </w:r>
      <w:r>
        <w:tab/>
      </w:r>
      <w:r>
        <w:fldChar w:fldCharType="begin"/>
      </w:r>
      <w:r>
        <w:instrText xml:space="preserve"> PAGEREF _Toc8410 </w:instrText>
      </w:r>
      <w:r>
        <w:fldChar w:fldCharType="separate"/>
      </w:r>
      <w:r>
        <w:t>11</w:t>
      </w:r>
      <w:r>
        <w:fldChar w:fldCharType="end"/>
      </w:r>
      <w:r>
        <w:rPr>
          <w:rFonts w:hint="default"/>
          <w:lang w:val="en-US"/>
        </w:rPr>
        <w:fldChar w:fldCharType="end"/>
      </w:r>
    </w:p>
    <w:p>
      <w:pPr>
        <w:pStyle w:val="11"/>
        <w:tabs>
          <w:tab w:val="right" w:leader="dot" w:pos="9354"/>
          <w:tab w:val="clear" w:pos="9241"/>
        </w:tabs>
      </w:pPr>
      <w:r>
        <w:rPr>
          <w:rFonts w:hint="default"/>
          <w:lang w:val="en-US"/>
        </w:rPr>
        <w:fldChar w:fldCharType="begin"/>
      </w:r>
      <w:r>
        <w:rPr>
          <w:rFonts w:hint="default"/>
          <w:lang w:val="en-US"/>
        </w:rPr>
        <w:instrText xml:space="preserve"> HYPERLINK \l _Toc8358 </w:instrText>
      </w:r>
      <w:r>
        <w:rPr>
          <w:rFonts w:hint="default"/>
          <w:lang w:val="en-US"/>
        </w:rPr>
        <w:fldChar w:fldCharType="separate"/>
      </w:r>
      <w:r>
        <w:rPr>
          <w:rFonts w:hint="eastAsia" w:ascii="黑体" w:hAnsi="Times New Roman" w:eastAsia="黑体" w:cs="Times New Roman"/>
          <w:bCs w:val="0"/>
          <w:i w:val="0"/>
          <w:iCs w:val="0"/>
          <w:caps w:val="0"/>
          <w:strike w:val="0"/>
          <w:dstrike w:val="0"/>
          <w:outline w:val="0"/>
          <w:shadow w:val="0"/>
          <w:emboss w:val="0"/>
          <w:imprint w:val="0"/>
          <w:vanish w:val="0"/>
          <w:spacing w:val="0"/>
          <w:kern w:val="0"/>
          <w:position w:val="0"/>
          <w:szCs w:val="21"/>
          <w:vertAlign w:val="baseline"/>
          <w:lang w:val="en-US" w:eastAsia="zh-CN"/>
        </w:rPr>
        <w:t xml:space="preserve">4.7 </w:t>
      </w:r>
      <w:r>
        <w:rPr>
          <w:rFonts w:hint="eastAsia"/>
          <w:lang w:val="en-US" w:eastAsia="zh-CN"/>
        </w:rPr>
        <w:t>知识管理</w:t>
      </w:r>
      <w:r>
        <w:tab/>
      </w:r>
      <w:r>
        <w:fldChar w:fldCharType="begin"/>
      </w:r>
      <w:r>
        <w:instrText xml:space="preserve"> PAGEREF _Toc8358 </w:instrText>
      </w:r>
      <w:r>
        <w:fldChar w:fldCharType="separate"/>
      </w:r>
      <w:r>
        <w:t>11</w:t>
      </w:r>
      <w:r>
        <w:fldChar w:fldCharType="end"/>
      </w:r>
      <w:r>
        <w:rPr>
          <w:rFonts w:hint="default"/>
          <w:lang w:val="en-US"/>
        </w:rPr>
        <w:fldChar w:fldCharType="end"/>
      </w:r>
    </w:p>
    <w:p>
      <w:pPr>
        <w:pStyle w:val="11"/>
        <w:tabs>
          <w:tab w:val="right" w:leader="dot" w:pos="9354"/>
          <w:tab w:val="clear" w:pos="9241"/>
        </w:tabs>
      </w:pPr>
      <w:r>
        <w:rPr>
          <w:rFonts w:hint="default"/>
          <w:lang w:val="en-US"/>
        </w:rPr>
        <w:fldChar w:fldCharType="begin"/>
      </w:r>
      <w:r>
        <w:rPr>
          <w:rFonts w:hint="default"/>
          <w:lang w:val="en-US"/>
        </w:rPr>
        <w:instrText xml:space="preserve"> HYPERLINK \l _Toc12811 </w:instrText>
      </w:r>
      <w:r>
        <w:rPr>
          <w:rFonts w:hint="default"/>
          <w:lang w:val="en-US"/>
        </w:rPr>
        <w:fldChar w:fldCharType="separate"/>
      </w:r>
      <w:r>
        <w:rPr>
          <w:rFonts w:hint="eastAsia" w:ascii="黑体" w:hAnsi="Times New Roman" w:eastAsia="黑体" w:cs="Times New Roman"/>
          <w:bCs w:val="0"/>
          <w:i w:val="0"/>
          <w:iCs w:val="0"/>
          <w:caps w:val="0"/>
          <w:strike w:val="0"/>
          <w:dstrike w:val="0"/>
          <w:outline w:val="0"/>
          <w:shadow w:val="0"/>
          <w:emboss w:val="0"/>
          <w:imprint w:val="0"/>
          <w:vanish w:val="0"/>
          <w:spacing w:val="0"/>
          <w:kern w:val="0"/>
          <w:position w:val="0"/>
          <w:szCs w:val="21"/>
          <w:vertAlign w:val="baseline"/>
          <w:lang w:val="en-US" w:eastAsia="zh-CN"/>
        </w:rPr>
        <w:t xml:space="preserve">4.8 </w:t>
      </w:r>
      <w:r>
        <w:rPr>
          <w:rFonts w:hint="eastAsia"/>
          <w:lang w:val="en-US" w:eastAsia="zh-CN"/>
        </w:rPr>
        <w:t>安全文化建设</w:t>
      </w:r>
      <w:r>
        <w:tab/>
      </w:r>
      <w:r>
        <w:fldChar w:fldCharType="begin"/>
      </w:r>
      <w:r>
        <w:instrText xml:space="preserve"> PAGEREF _Toc12811 </w:instrText>
      </w:r>
      <w:r>
        <w:fldChar w:fldCharType="separate"/>
      </w:r>
      <w:r>
        <w:t>12</w:t>
      </w:r>
      <w:r>
        <w:fldChar w:fldCharType="end"/>
      </w:r>
      <w:r>
        <w:rPr>
          <w:rFonts w:hint="default"/>
          <w:lang w:val="en-US"/>
        </w:rPr>
        <w:fldChar w:fldCharType="end"/>
      </w:r>
    </w:p>
    <w:p>
      <w:pPr>
        <w:pStyle w:val="17"/>
        <w:tabs>
          <w:tab w:val="right" w:leader="dot" w:pos="9354"/>
          <w:tab w:val="clear" w:pos="9242"/>
        </w:tabs>
      </w:pPr>
      <w:r>
        <w:rPr>
          <w:rFonts w:hint="default"/>
          <w:lang w:val="en-US"/>
        </w:rPr>
        <w:fldChar w:fldCharType="begin"/>
      </w:r>
      <w:r>
        <w:rPr>
          <w:rFonts w:hint="default"/>
          <w:lang w:val="en-US"/>
        </w:rPr>
        <w:instrText xml:space="preserve"> HYPERLINK \l _Toc31596 </w:instrText>
      </w:r>
      <w:r>
        <w:rPr>
          <w:rFonts w:hint="default"/>
          <w:lang w:val="en-US"/>
        </w:rPr>
        <w:fldChar w:fldCharType="separate"/>
      </w:r>
      <w:r>
        <w:rPr>
          <w:rFonts w:hint="eastAsia" w:ascii="黑体" w:hAnsi="Times New Roman" w:eastAsia="黑体"/>
          <w:i w:val="0"/>
          <w:szCs w:val="21"/>
          <w:lang w:val="en-US" w:eastAsia="zh-CN"/>
        </w:rPr>
        <w:t xml:space="preserve">5 </w:t>
      </w:r>
      <w:r>
        <w:rPr>
          <w:rFonts w:hint="eastAsia"/>
          <w:szCs w:val="22"/>
          <w:lang w:val="en-US" w:eastAsia="zh-CN"/>
        </w:rPr>
        <w:t>风险管理</w:t>
      </w:r>
      <w:r>
        <w:tab/>
      </w:r>
      <w:r>
        <w:fldChar w:fldCharType="begin"/>
      </w:r>
      <w:r>
        <w:instrText xml:space="preserve"> PAGEREF _Toc31596 </w:instrText>
      </w:r>
      <w:r>
        <w:fldChar w:fldCharType="separate"/>
      </w:r>
      <w:r>
        <w:t>12</w:t>
      </w:r>
      <w:r>
        <w:fldChar w:fldCharType="end"/>
      </w:r>
      <w:r>
        <w:rPr>
          <w:rFonts w:hint="default"/>
          <w:lang w:val="en-US"/>
        </w:rPr>
        <w:fldChar w:fldCharType="end"/>
      </w:r>
    </w:p>
    <w:p>
      <w:pPr>
        <w:pStyle w:val="11"/>
        <w:tabs>
          <w:tab w:val="right" w:leader="dot" w:pos="9354"/>
          <w:tab w:val="clear" w:pos="9241"/>
        </w:tabs>
      </w:pPr>
      <w:r>
        <w:rPr>
          <w:rFonts w:hint="default"/>
          <w:lang w:val="en-US"/>
        </w:rPr>
        <w:fldChar w:fldCharType="begin"/>
      </w:r>
      <w:r>
        <w:rPr>
          <w:rFonts w:hint="default"/>
          <w:lang w:val="en-US"/>
        </w:rPr>
        <w:instrText xml:space="preserve"> HYPERLINK \l _Toc22223 </w:instrText>
      </w:r>
      <w:r>
        <w:rPr>
          <w:rFonts w:hint="default"/>
          <w:lang w:val="en-US"/>
        </w:rPr>
        <w:fldChar w:fldCharType="separate"/>
      </w:r>
      <w:r>
        <w:rPr>
          <w:rFonts w:hint="eastAsia" w:ascii="黑体" w:hAnsi="Times New Roman" w:eastAsia="黑体" w:cs="Times New Roman"/>
          <w:bCs w:val="0"/>
          <w:i w:val="0"/>
          <w:iCs w:val="0"/>
          <w:caps w:val="0"/>
          <w:strike w:val="0"/>
          <w:dstrike w:val="0"/>
          <w:outline w:val="0"/>
          <w:shadow w:val="0"/>
          <w:emboss w:val="0"/>
          <w:imprint w:val="0"/>
          <w:vanish w:val="0"/>
          <w:spacing w:val="0"/>
          <w:kern w:val="0"/>
          <w:position w:val="0"/>
          <w:szCs w:val="21"/>
          <w:vertAlign w:val="baseline"/>
          <w:lang w:val="en-US" w:eastAsia="zh-CN"/>
        </w:rPr>
        <w:t xml:space="preserve">5.1 </w:t>
      </w:r>
      <w:r>
        <w:rPr>
          <w:rFonts w:hint="eastAsia"/>
          <w:highlight w:val="none"/>
          <w:lang w:val="en-US" w:eastAsia="zh-CN"/>
        </w:rPr>
        <w:t>因素辨识</w:t>
      </w:r>
      <w:r>
        <w:tab/>
      </w:r>
      <w:r>
        <w:fldChar w:fldCharType="begin"/>
      </w:r>
      <w:r>
        <w:instrText xml:space="preserve"> PAGEREF _Toc22223 </w:instrText>
      </w:r>
      <w:r>
        <w:fldChar w:fldCharType="separate"/>
      </w:r>
      <w:r>
        <w:t>12</w:t>
      </w:r>
      <w:r>
        <w:fldChar w:fldCharType="end"/>
      </w:r>
      <w:r>
        <w:rPr>
          <w:rFonts w:hint="default"/>
          <w:lang w:val="en-US"/>
        </w:rPr>
        <w:fldChar w:fldCharType="end"/>
      </w:r>
    </w:p>
    <w:p>
      <w:pPr>
        <w:pStyle w:val="11"/>
        <w:tabs>
          <w:tab w:val="right" w:leader="dot" w:pos="9354"/>
          <w:tab w:val="clear" w:pos="9241"/>
        </w:tabs>
      </w:pPr>
      <w:r>
        <w:rPr>
          <w:rFonts w:hint="default"/>
          <w:lang w:val="en-US"/>
        </w:rPr>
        <w:fldChar w:fldCharType="begin"/>
      </w:r>
      <w:r>
        <w:rPr>
          <w:rFonts w:hint="default"/>
          <w:lang w:val="en-US"/>
        </w:rPr>
        <w:instrText xml:space="preserve"> HYPERLINK \l _Toc19845 </w:instrText>
      </w:r>
      <w:r>
        <w:rPr>
          <w:rFonts w:hint="default"/>
          <w:lang w:val="en-US"/>
        </w:rPr>
        <w:fldChar w:fldCharType="separate"/>
      </w:r>
      <w:r>
        <w:rPr>
          <w:rFonts w:hint="eastAsia"/>
          <w:highlight w:val="none"/>
          <w:lang w:val="en-US" w:eastAsia="zh-CN"/>
        </w:rPr>
        <w:t>5.1.1策划</w:t>
      </w:r>
      <w:r>
        <w:tab/>
      </w:r>
      <w:r>
        <w:fldChar w:fldCharType="begin"/>
      </w:r>
      <w:r>
        <w:instrText xml:space="preserve"> PAGEREF _Toc19845 </w:instrText>
      </w:r>
      <w:r>
        <w:fldChar w:fldCharType="separate"/>
      </w:r>
      <w:r>
        <w:t>12</w:t>
      </w:r>
      <w:r>
        <w:fldChar w:fldCharType="end"/>
      </w:r>
      <w:r>
        <w:rPr>
          <w:rFonts w:hint="default"/>
          <w:lang w:val="en-US"/>
        </w:rPr>
        <w:fldChar w:fldCharType="end"/>
      </w:r>
    </w:p>
    <w:p>
      <w:pPr>
        <w:pStyle w:val="11"/>
        <w:tabs>
          <w:tab w:val="right" w:leader="dot" w:pos="9354"/>
          <w:tab w:val="clear" w:pos="9241"/>
        </w:tabs>
      </w:pPr>
      <w:r>
        <w:rPr>
          <w:rFonts w:hint="default"/>
          <w:lang w:val="en-US"/>
        </w:rPr>
        <w:fldChar w:fldCharType="begin"/>
      </w:r>
      <w:r>
        <w:rPr>
          <w:rFonts w:hint="default"/>
          <w:lang w:val="en-US"/>
        </w:rPr>
        <w:instrText xml:space="preserve"> HYPERLINK \l _Toc113 </w:instrText>
      </w:r>
      <w:r>
        <w:rPr>
          <w:rFonts w:hint="default"/>
          <w:lang w:val="en-US"/>
        </w:rPr>
        <w:fldChar w:fldCharType="separate"/>
      </w:r>
      <w:r>
        <w:rPr>
          <w:rFonts w:hint="eastAsia"/>
          <w:highlight w:val="none"/>
          <w:lang w:val="en-US" w:eastAsia="zh-CN"/>
        </w:rPr>
        <w:t>5.1.2辨识</w:t>
      </w:r>
      <w:r>
        <w:tab/>
      </w:r>
      <w:r>
        <w:fldChar w:fldCharType="begin"/>
      </w:r>
      <w:r>
        <w:instrText xml:space="preserve"> PAGEREF _Toc113 </w:instrText>
      </w:r>
      <w:r>
        <w:fldChar w:fldCharType="separate"/>
      </w:r>
      <w:r>
        <w:t>12</w:t>
      </w:r>
      <w:r>
        <w:fldChar w:fldCharType="end"/>
      </w:r>
      <w:r>
        <w:rPr>
          <w:rFonts w:hint="default"/>
          <w:lang w:val="en-US"/>
        </w:rPr>
        <w:fldChar w:fldCharType="end"/>
      </w:r>
    </w:p>
    <w:p>
      <w:pPr>
        <w:pStyle w:val="11"/>
        <w:tabs>
          <w:tab w:val="right" w:leader="dot" w:pos="9354"/>
          <w:tab w:val="clear" w:pos="9241"/>
        </w:tabs>
      </w:pPr>
      <w:r>
        <w:rPr>
          <w:rFonts w:hint="default"/>
          <w:lang w:val="en-US"/>
        </w:rPr>
        <w:fldChar w:fldCharType="begin"/>
      </w:r>
      <w:r>
        <w:rPr>
          <w:rFonts w:hint="default"/>
          <w:lang w:val="en-US"/>
        </w:rPr>
        <w:instrText xml:space="preserve"> HYPERLINK \l _Toc19828 </w:instrText>
      </w:r>
      <w:r>
        <w:rPr>
          <w:rFonts w:hint="default"/>
          <w:lang w:val="en-US"/>
        </w:rPr>
        <w:fldChar w:fldCharType="separate"/>
      </w:r>
      <w:r>
        <w:rPr>
          <w:rFonts w:hint="eastAsia" w:ascii="黑体" w:hAnsi="Times New Roman" w:eastAsia="黑体" w:cs="Times New Roman"/>
          <w:bCs w:val="0"/>
          <w:i w:val="0"/>
          <w:iCs w:val="0"/>
          <w:caps w:val="0"/>
          <w:strike w:val="0"/>
          <w:dstrike w:val="0"/>
          <w:outline w:val="0"/>
          <w:shadow w:val="0"/>
          <w:emboss w:val="0"/>
          <w:imprint w:val="0"/>
          <w:vanish w:val="0"/>
          <w:spacing w:val="0"/>
          <w:kern w:val="0"/>
          <w:position w:val="0"/>
          <w:szCs w:val="21"/>
          <w:vertAlign w:val="baseline"/>
          <w:lang w:val="en-US" w:eastAsia="zh-CN"/>
        </w:rPr>
        <w:t xml:space="preserve">5.2 </w:t>
      </w:r>
      <w:r>
        <w:rPr>
          <w:rFonts w:hint="eastAsia"/>
          <w:lang w:val="en-US" w:eastAsia="zh-CN"/>
        </w:rPr>
        <w:t>风险评价</w:t>
      </w:r>
      <w:r>
        <w:tab/>
      </w:r>
      <w:r>
        <w:fldChar w:fldCharType="begin"/>
      </w:r>
      <w:r>
        <w:instrText xml:space="preserve"> PAGEREF _Toc19828 </w:instrText>
      </w:r>
      <w:r>
        <w:fldChar w:fldCharType="separate"/>
      </w:r>
      <w:r>
        <w:t>13</w:t>
      </w:r>
      <w:r>
        <w:fldChar w:fldCharType="end"/>
      </w:r>
      <w:r>
        <w:rPr>
          <w:rFonts w:hint="default"/>
          <w:lang w:val="en-US"/>
        </w:rPr>
        <w:fldChar w:fldCharType="end"/>
      </w:r>
    </w:p>
    <w:p>
      <w:pPr>
        <w:pStyle w:val="11"/>
        <w:tabs>
          <w:tab w:val="right" w:leader="dot" w:pos="9354"/>
          <w:tab w:val="clear" w:pos="9241"/>
        </w:tabs>
      </w:pPr>
      <w:r>
        <w:rPr>
          <w:rFonts w:hint="default"/>
          <w:lang w:val="en-US"/>
        </w:rPr>
        <w:fldChar w:fldCharType="begin"/>
      </w:r>
      <w:r>
        <w:rPr>
          <w:rFonts w:hint="default"/>
          <w:lang w:val="en-US"/>
        </w:rPr>
        <w:instrText xml:space="preserve"> HYPERLINK \l _Toc29769 </w:instrText>
      </w:r>
      <w:r>
        <w:rPr>
          <w:rFonts w:hint="default"/>
          <w:lang w:val="en-US"/>
        </w:rPr>
        <w:fldChar w:fldCharType="separate"/>
      </w:r>
      <w:r>
        <w:rPr>
          <w:rFonts w:hint="eastAsia" w:ascii="黑体" w:hAnsi="Times New Roman" w:eastAsia="黑体" w:cs="Times New Roman"/>
          <w:bCs w:val="0"/>
          <w:i w:val="0"/>
          <w:iCs w:val="0"/>
          <w:caps w:val="0"/>
          <w:strike w:val="0"/>
          <w:dstrike w:val="0"/>
          <w:outline w:val="0"/>
          <w:shadow w:val="0"/>
          <w:emboss w:val="0"/>
          <w:imprint w:val="0"/>
          <w:vanish w:val="0"/>
          <w:spacing w:val="0"/>
          <w:kern w:val="0"/>
          <w:position w:val="0"/>
          <w:szCs w:val="21"/>
          <w:vertAlign w:val="baseline"/>
          <w:lang w:val="en-US" w:eastAsia="zh-CN"/>
        </w:rPr>
        <w:t xml:space="preserve">5.3 </w:t>
      </w:r>
      <w:r>
        <w:rPr>
          <w:rFonts w:hint="eastAsia"/>
          <w:lang w:val="en-US" w:eastAsia="zh-CN"/>
        </w:rPr>
        <w:t>风险控制</w:t>
      </w:r>
      <w:r>
        <w:tab/>
      </w:r>
      <w:r>
        <w:fldChar w:fldCharType="begin"/>
      </w:r>
      <w:r>
        <w:instrText xml:space="preserve"> PAGEREF _Toc29769 </w:instrText>
      </w:r>
      <w:r>
        <w:fldChar w:fldCharType="separate"/>
      </w:r>
      <w:r>
        <w:t>13</w:t>
      </w:r>
      <w:r>
        <w:fldChar w:fldCharType="end"/>
      </w:r>
      <w:r>
        <w:rPr>
          <w:rFonts w:hint="default"/>
          <w:lang w:val="en-US"/>
        </w:rPr>
        <w:fldChar w:fldCharType="end"/>
      </w:r>
    </w:p>
    <w:p>
      <w:pPr>
        <w:pStyle w:val="11"/>
        <w:tabs>
          <w:tab w:val="right" w:leader="dot" w:pos="9354"/>
          <w:tab w:val="clear" w:pos="9241"/>
        </w:tabs>
      </w:pPr>
      <w:r>
        <w:rPr>
          <w:rFonts w:hint="default"/>
          <w:lang w:val="en-US"/>
        </w:rPr>
        <w:fldChar w:fldCharType="begin"/>
      </w:r>
      <w:r>
        <w:rPr>
          <w:rFonts w:hint="default"/>
          <w:lang w:val="en-US"/>
        </w:rPr>
        <w:instrText xml:space="preserve"> HYPERLINK \l _Toc22687 </w:instrText>
      </w:r>
      <w:r>
        <w:rPr>
          <w:rFonts w:hint="default"/>
          <w:lang w:val="en-US"/>
        </w:rPr>
        <w:fldChar w:fldCharType="separate"/>
      </w:r>
      <w:r>
        <w:rPr>
          <w:rFonts w:hint="eastAsia"/>
          <w:lang w:val="en-US" w:eastAsia="zh-CN"/>
        </w:rPr>
        <w:t>5.3.1策划</w:t>
      </w:r>
      <w:r>
        <w:tab/>
      </w:r>
      <w:r>
        <w:fldChar w:fldCharType="begin"/>
      </w:r>
      <w:r>
        <w:instrText xml:space="preserve"> PAGEREF _Toc22687 </w:instrText>
      </w:r>
      <w:r>
        <w:fldChar w:fldCharType="separate"/>
      </w:r>
      <w:r>
        <w:t>13</w:t>
      </w:r>
      <w:r>
        <w:fldChar w:fldCharType="end"/>
      </w:r>
      <w:r>
        <w:rPr>
          <w:rFonts w:hint="default"/>
          <w:lang w:val="en-US"/>
        </w:rPr>
        <w:fldChar w:fldCharType="end"/>
      </w:r>
    </w:p>
    <w:p>
      <w:pPr>
        <w:pStyle w:val="11"/>
        <w:tabs>
          <w:tab w:val="right" w:leader="dot" w:pos="9354"/>
          <w:tab w:val="clear" w:pos="9241"/>
        </w:tabs>
      </w:pPr>
      <w:r>
        <w:rPr>
          <w:rFonts w:hint="default"/>
          <w:lang w:val="en-US"/>
        </w:rPr>
        <w:fldChar w:fldCharType="begin"/>
      </w:r>
      <w:r>
        <w:rPr>
          <w:rFonts w:hint="default"/>
          <w:lang w:val="en-US"/>
        </w:rPr>
        <w:instrText xml:space="preserve"> HYPERLINK \l _Toc22986 </w:instrText>
      </w:r>
      <w:r>
        <w:rPr>
          <w:rFonts w:hint="default"/>
          <w:lang w:val="en-US"/>
        </w:rPr>
        <w:fldChar w:fldCharType="separate"/>
      </w:r>
      <w:r>
        <w:rPr>
          <w:rFonts w:hint="eastAsia"/>
          <w:lang w:val="en-US" w:eastAsia="zh-CN"/>
        </w:rPr>
        <w:t>5.3.2控制</w:t>
      </w:r>
      <w:r>
        <w:tab/>
      </w:r>
      <w:r>
        <w:fldChar w:fldCharType="begin"/>
      </w:r>
      <w:r>
        <w:instrText xml:space="preserve"> PAGEREF _Toc22986 </w:instrText>
      </w:r>
      <w:r>
        <w:fldChar w:fldCharType="separate"/>
      </w:r>
      <w:r>
        <w:t>13</w:t>
      </w:r>
      <w:r>
        <w:fldChar w:fldCharType="end"/>
      </w:r>
      <w:r>
        <w:rPr>
          <w:rFonts w:hint="default"/>
          <w:lang w:val="en-US"/>
        </w:rPr>
        <w:fldChar w:fldCharType="end"/>
      </w:r>
    </w:p>
    <w:p>
      <w:pPr>
        <w:pStyle w:val="11"/>
        <w:tabs>
          <w:tab w:val="right" w:leader="dot" w:pos="9354"/>
          <w:tab w:val="clear" w:pos="9241"/>
        </w:tabs>
      </w:pPr>
      <w:r>
        <w:rPr>
          <w:rFonts w:hint="default"/>
          <w:lang w:val="en-US"/>
        </w:rPr>
        <w:fldChar w:fldCharType="begin"/>
      </w:r>
      <w:r>
        <w:rPr>
          <w:rFonts w:hint="default"/>
          <w:lang w:val="en-US"/>
        </w:rPr>
        <w:instrText xml:space="preserve"> HYPERLINK \l _Toc25010 </w:instrText>
      </w:r>
      <w:r>
        <w:rPr>
          <w:rFonts w:hint="default"/>
          <w:lang w:val="en-US"/>
        </w:rPr>
        <w:fldChar w:fldCharType="separate"/>
      </w:r>
      <w:r>
        <w:rPr>
          <w:rFonts w:hint="eastAsia" w:ascii="黑体" w:hAnsi="Times New Roman" w:eastAsia="黑体" w:cs="Times New Roman"/>
          <w:bCs w:val="0"/>
          <w:i w:val="0"/>
          <w:iCs w:val="0"/>
          <w:caps w:val="0"/>
          <w:strike w:val="0"/>
          <w:dstrike w:val="0"/>
          <w:outline w:val="0"/>
          <w:shadow w:val="0"/>
          <w:emboss w:val="0"/>
          <w:imprint w:val="0"/>
          <w:vanish w:val="0"/>
          <w:spacing w:val="0"/>
          <w:kern w:val="0"/>
          <w:position w:val="0"/>
          <w:szCs w:val="21"/>
          <w:vertAlign w:val="baseline"/>
          <w:lang w:val="en-US" w:eastAsia="zh-CN"/>
        </w:rPr>
        <w:t xml:space="preserve">5.4 </w:t>
      </w:r>
      <w:r>
        <w:rPr>
          <w:rFonts w:hint="eastAsia"/>
          <w:lang w:val="en-US" w:eastAsia="zh-CN"/>
        </w:rPr>
        <w:t>投入保障</w:t>
      </w:r>
      <w:r>
        <w:tab/>
      </w:r>
      <w:r>
        <w:fldChar w:fldCharType="begin"/>
      </w:r>
      <w:r>
        <w:instrText xml:space="preserve"> PAGEREF _Toc25010 </w:instrText>
      </w:r>
      <w:r>
        <w:fldChar w:fldCharType="separate"/>
      </w:r>
      <w:r>
        <w:t>14</w:t>
      </w:r>
      <w:r>
        <w:fldChar w:fldCharType="end"/>
      </w:r>
      <w:r>
        <w:rPr>
          <w:rFonts w:hint="default"/>
          <w:lang w:val="en-US"/>
        </w:rPr>
        <w:fldChar w:fldCharType="end"/>
      </w:r>
    </w:p>
    <w:p>
      <w:pPr>
        <w:pStyle w:val="11"/>
        <w:tabs>
          <w:tab w:val="right" w:leader="dot" w:pos="9354"/>
          <w:tab w:val="clear" w:pos="9241"/>
        </w:tabs>
      </w:pPr>
      <w:r>
        <w:rPr>
          <w:rFonts w:hint="default"/>
          <w:lang w:val="en-US"/>
        </w:rPr>
        <w:fldChar w:fldCharType="begin"/>
      </w:r>
      <w:r>
        <w:rPr>
          <w:rFonts w:hint="default"/>
          <w:lang w:val="en-US"/>
        </w:rPr>
        <w:instrText xml:space="preserve"> HYPERLINK \l _Toc9709 </w:instrText>
      </w:r>
      <w:r>
        <w:rPr>
          <w:rFonts w:hint="default"/>
          <w:lang w:val="en-US"/>
        </w:rPr>
        <w:fldChar w:fldCharType="separate"/>
      </w:r>
      <w:r>
        <w:rPr>
          <w:rFonts w:hint="eastAsia"/>
          <w:lang w:val="en-US" w:eastAsia="zh-CN"/>
        </w:rPr>
        <w:t>5.4.1安全经费</w:t>
      </w:r>
      <w:r>
        <w:tab/>
      </w:r>
      <w:r>
        <w:fldChar w:fldCharType="begin"/>
      </w:r>
      <w:r>
        <w:instrText xml:space="preserve"> PAGEREF _Toc9709 </w:instrText>
      </w:r>
      <w:r>
        <w:fldChar w:fldCharType="separate"/>
      </w:r>
      <w:r>
        <w:t>14</w:t>
      </w:r>
      <w:r>
        <w:fldChar w:fldCharType="end"/>
      </w:r>
      <w:r>
        <w:rPr>
          <w:rFonts w:hint="default"/>
          <w:lang w:val="en-US"/>
        </w:rPr>
        <w:fldChar w:fldCharType="end"/>
      </w:r>
    </w:p>
    <w:p>
      <w:pPr>
        <w:pStyle w:val="11"/>
        <w:tabs>
          <w:tab w:val="right" w:leader="dot" w:pos="9354"/>
          <w:tab w:val="clear" w:pos="9241"/>
        </w:tabs>
      </w:pPr>
      <w:r>
        <w:rPr>
          <w:rFonts w:hint="default"/>
          <w:lang w:val="en-US"/>
        </w:rPr>
        <w:fldChar w:fldCharType="begin"/>
      </w:r>
      <w:r>
        <w:rPr>
          <w:rFonts w:hint="default"/>
          <w:lang w:val="en-US"/>
        </w:rPr>
        <w:instrText xml:space="preserve"> HYPERLINK \l _Toc2772 </w:instrText>
      </w:r>
      <w:r>
        <w:rPr>
          <w:rFonts w:hint="default"/>
          <w:lang w:val="en-US"/>
        </w:rPr>
        <w:fldChar w:fldCharType="separate"/>
      </w:r>
      <w:r>
        <w:rPr>
          <w:rFonts w:hint="eastAsia"/>
          <w:lang w:val="en-US" w:eastAsia="zh-CN"/>
        </w:rPr>
        <w:t>5.4.2风险投入</w:t>
      </w:r>
      <w:r>
        <w:tab/>
      </w:r>
      <w:r>
        <w:fldChar w:fldCharType="begin"/>
      </w:r>
      <w:r>
        <w:instrText xml:space="preserve"> PAGEREF _Toc2772 </w:instrText>
      </w:r>
      <w:r>
        <w:fldChar w:fldCharType="separate"/>
      </w:r>
      <w:r>
        <w:t>14</w:t>
      </w:r>
      <w:r>
        <w:fldChar w:fldCharType="end"/>
      </w:r>
      <w:r>
        <w:rPr>
          <w:rFonts w:hint="default"/>
          <w:lang w:val="en-US"/>
        </w:rPr>
        <w:fldChar w:fldCharType="end"/>
      </w:r>
    </w:p>
    <w:p>
      <w:pPr>
        <w:pStyle w:val="17"/>
        <w:tabs>
          <w:tab w:val="right" w:leader="dot" w:pos="9354"/>
          <w:tab w:val="clear" w:pos="9242"/>
        </w:tabs>
      </w:pPr>
      <w:r>
        <w:rPr>
          <w:rFonts w:hint="default"/>
          <w:lang w:val="en-US"/>
        </w:rPr>
        <w:fldChar w:fldCharType="begin"/>
      </w:r>
      <w:r>
        <w:rPr>
          <w:rFonts w:hint="default"/>
          <w:lang w:val="en-US"/>
        </w:rPr>
        <w:instrText xml:space="preserve"> HYPERLINK \l _Toc14088 </w:instrText>
      </w:r>
      <w:r>
        <w:rPr>
          <w:rFonts w:hint="default"/>
          <w:lang w:val="en-US"/>
        </w:rPr>
        <w:fldChar w:fldCharType="separate"/>
      </w:r>
      <w:r>
        <w:rPr>
          <w:rFonts w:hint="eastAsia" w:ascii="黑体" w:hAnsi="Times New Roman" w:eastAsia="黑体"/>
          <w:i w:val="0"/>
          <w:szCs w:val="21"/>
          <w:lang w:val="en-US" w:eastAsia="zh-CN"/>
        </w:rPr>
        <w:t xml:space="preserve">6 </w:t>
      </w:r>
      <w:r>
        <w:rPr>
          <w:rFonts w:hint="eastAsia"/>
          <w:szCs w:val="22"/>
          <w:lang w:val="en-US" w:eastAsia="zh-CN"/>
        </w:rPr>
        <w:t>隐患管理</w:t>
      </w:r>
      <w:r>
        <w:tab/>
      </w:r>
      <w:r>
        <w:fldChar w:fldCharType="begin"/>
      </w:r>
      <w:r>
        <w:instrText xml:space="preserve"> PAGEREF _Toc14088 </w:instrText>
      </w:r>
      <w:r>
        <w:fldChar w:fldCharType="separate"/>
      </w:r>
      <w:r>
        <w:t>14</w:t>
      </w:r>
      <w:r>
        <w:fldChar w:fldCharType="end"/>
      </w:r>
      <w:r>
        <w:rPr>
          <w:rFonts w:hint="default"/>
          <w:lang w:val="en-US"/>
        </w:rPr>
        <w:fldChar w:fldCharType="end"/>
      </w:r>
    </w:p>
    <w:p>
      <w:pPr>
        <w:pStyle w:val="11"/>
        <w:tabs>
          <w:tab w:val="right" w:leader="dot" w:pos="9354"/>
          <w:tab w:val="clear" w:pos="9241"/>
        </w:tabs>
      </w:pPr>
      <w:r>
        <w:rPr>
          <w:rFonts w:hint="default"/>
          <w:lang w:val="en-US"/>
        </w:rPr>
        <w:fldChar w:fldCharType="begin"/>
      </w:r>
      <w:r>
        <w:rPr>
          <w:rFonts w:hint="default"/>
          <w:lang w:val="en-US"/>
        </w:rPr>
        <w:instrText xml:space="preserve"> HYPERLINK \l _Toc4772 </w:instrText>
      </w:r>
      <w:r>
        <w:rPr>
          <w:rFonts w:hint="default"/>
          <w:lang w:val="en-US"/>
        </w:rPr>
        <w:fldChar w:fldCharType="separate"/>
      </w:r>
      <w:r>
        <w:rPr>
          <w:rFonts w:hint="eastAsia" w:ascii="黑体" w:hAnsi="Times New Roman" w:eastAsia="黑体" w:cs="Times New Roman"/>
          <w:bCs w:val="0"/>
          <w:i w:val="0"/>
          <w:iCs w:val="0"/>
          <w:caps w:val="0"/>
          <w:strike w:val="0"/>
          <w:dstrike w:val="0"/>
          <w:outline w:val="0"/>
          <w:shadow w:val="0"/>
          <w:emboss w:val="0"/>
          <w:imprint w:val="0"/>
          <w:vanish w:val="0"/>
          <w:spacing w:val="0"/>
          <w:kern w:val="0"/>
          <w:position w:val="0"/>
          <w:szCs w:val="21"/>
          <w:vertAlign w:val="baseline"/>
          <w:lang w:val="en-US" w:eastAsia="zh-CN"/>
        </w:rPr>
        <w:t xml:space="preserve">6.1 </w:t>
      </w:r>
      <w:r>
        <w:rPr>
          <w:rFonts w:hint="eastAsia"/>
          <w:lang w:val="en-US" w:eastAsia="zh-CN"/>
        </w:rPr>
        <w:t>分级分类</w:t>
      </w:r>
      <w:r>
        <w:tab/>
      </w:r>
      <w:r>
        <w:fldChar w:fldCharType="begin"/>
      </w:r>
      <w:r>
        <w:instrText xml:space="preserve"> PAGEREF _Toc4772 </w:instrText>
      </w:r>
      <w:r>
        <w:fldChar w:fldCharType="separate"/>
      </w:r>
      <w:r>
        <w:t>14</w:t>
      </w:r>
      <w:r>
        <w:fldChar w:fldCharType="end"/>
      </w:r>
      <w:r>
        <w:rPr>
          <w:rFonts w:hint="default"/>
          <w:lang w:val="en-US"/>
        </w:rPr>
        <w:fldChar w:fldCharType="end"/>
      </w:r>
    </w:p>
    <w:p>
      <w:pPr>
        <w:pStyle w:val="11"/>
        <w:tabs>
          <w:tab w:val="right" w:leader="dot" w:pos="9354"/>
          <w:tab w:val="clear" w:pos="9241"/>
        </w:tabs>
      </w:pPr>
      <w:r>
        <w:rPr>
          <w:rFonts w:hint="default"/>
          <w:lang w:val="en-US"/>
        </w:rPr>
        <w:fldChar w:fldCharType="begin"/>
      </w:r>
      <w:r>
        <w:rPr>
          <w:rFonts w:hint="default"/>
          <w:lang w:val="en-US"/>
        </w:rPr>
        <w:instrText xml:space="preserve"> HYPERLINK \l _Toc19541 </w:instrText>
      </w:r>
      <w:r>
        <w:rPr>
          <w:rFonts w:hint="default"/>
          <w:lang w:val="en-US"/>
        </w:rPr>
        <w:fldChar w:fldCharType="separate"/>
      </w:r>
      <w:r>
        <w:rPr>
          <w:rFonts w:hint="eastAsia" w:ascii="黑体" w:hAnsi="Times New Roman" w:eastAsia="黑体" w:cs="Times New Roman"/>
          <w:bCs w:val="0"/>
          <w:i w:val="0"/>
          <w:iCs w:val="0"/>
          <w:caps w:val="0"/>
          <w:strike w:val="0"/>
          <w:dstrike w:val="0"/>
          <w:outline w:val="0"/>
          <w:shadow w:val="0"/>
          <w:emboss w:val="0"/>
          <w:imprint w:val="0"/>
          <w:vanish w:val="0"/>
          <w:spacing w:val="0"/>
          <w:kern w:val="0"/>
          <w:position w:val="0"/>
          <w:szCs w:val="21"/>
          <w:vertAlign w:val="baseline"/>
          <w:lang w:val="en-US" w:eastAsia="zh-CN"/>
        </w:rPr>
        <w:t xml:space="preserve">6.2 </w:t>
      </w:r>
      <w:r>
        <w:rPr>
          <w:rFonts w:hint="eastAsia"/>
          <w:lang w:val="en-US" w:eastAsia="zh-CN"/>
        </w:rPr>
        <w:t>隐患排查</w:t>
      </w:r>
      <w:r>
        <w:tab/>
      </w:r>
      <w:r>
        <w:fldChar w:fldCharType="begin"/>
      </w:r>
      <w:r>
        <w:instrText xml:space="preserve"> PAGEREF _Toc19541 </w:instrText>
      </w:r>
      <w:r>
        <w:fldChar w:fldCharType="separate"/>
      </w:r>
      <w:r>
        <w:t>15</w:t>
      </w:r>
      <w:r>
        <w:fldChar w:fldCharType="end"/>
      </w:r>
      <w:r>
        <w:rPr>
          <w:rFonts w:hint="default"/>
          <w:lang w:val="en-US"/>
        </w:rPr>
        <w:fldChar w:fldCharType="end"/>
      </w:r>
    </w:p>
    <w:p>
      <w:pPr>
        <w:pStyle w:val="11"/>
        <w:tabs>
          <w:tab w:val="right" w:leader="dot" w:pos="9354"/>
          <w:tab w:val="clear" w:pos="9241"/>
        </w:tabs>
      </w:pPr>
      <w:r>
        <w:rPr>
          <w:rFonts w:hint="default"/>
          <w:lang w:val="en-US"/>
        </w:rPr>
        <w:fldChar w:fldCharType="begin"/>
      </w:r>
      <w:r>
        <w:rPr>
          <w:rFonts w:hint="default"/>
          <w:lang w:val="en-US"/>
        </w:rPr>
        <w:instrText xml:space="preserve"> HYPERLINK \l _Toc12838 </w:instrText>
      </w:r>
      <w:r>
        <w:rPr>
          <w:rFonts w:hint="default"/>
          <w:lang w:val="en-US"/>
        </w:rPr>
        <w:fldChar w:fldCharType="separate"/>
      </w:r>
      <w:r>
        <w:rPr>
          <w:rFonts w:hint="eastAsia" w:hAnsi="Times New Roman" w:cs="Times New Roman"/>
          <w:lang w:val="en-US" w:eastAsia="zh-CN"/>
        </w:rPr>
        <w:t>6.2.1</w:t>
      </w:r>
      <w:r>
        <w:rPr>
          <w:rFonts w:hint="eastAsia" w:cs="Times New Roman"/>
          <w:lang w:val="en-US" w:eastAsia="zh-CN"/>
        </w:rPr>
        <w:t>策划</w:t>
      </w:r>
      <w:r>
        <w:tab/>
      </w:r>
      <w:r>
        <w:fldChar w:fldCharType="begin"/>
      </w:r>
      <w:r>
        <w:instrText xml:space="preserve"> PAGEREF _Toc12838 </w:instrText>
      </w:r>
      <w:r>
        <w:fldChar w:fldCharType="separate"/>
      </w:r>
      <w:r>
        <w:t>15</w:t>
      </w:r>
      <w:r>
        <w:fldChar w:fldCharType="end"/>
      </w:r>
      <w:r>
        <w:rPr>
          <w:rFonts w:hint="default"/>
          <w:lang w:val="en-US"/>
        </w:rPr>
        <w:fldChar w:fldCharType="end"/>
      </w:r>
    </w:p>
    <w:p>
      <w:pPr>
        <w:pStyle w:val="11"/>
        <w:tabs>
          <w:tab w:val="right" w:leader="dot" w:pos="9354"/>
          <w:tab w:val="clear" w:pos="9241"/>
        </w:tabs>
      </w:pPr>
      <w:r>
        <w:rPr>
          <w:rFonts w:hint="default"/>
          <w:lang w:val="en-US"/>
        </w:rPr>
        <w:fldChar w:fldCharType="begin"/>
      </w:r>
      <w:r>
        <w:rPr>
          <w:rFonts w:hint="default"/>
          <w:lang w:val="en-US"/>
        </w:rPr>
        <w:instrText xml:space="preserve"> HYPERLINK \l _Toc7859 </w:instrText>
      </w:r>
      <w:r>
        <w:rPr>
          <w:rFonts w:hint="default"/>
          <w:lang w:val="en-US"/>
        </w:rPr>
        <w:fldChar w:fldCharType="separate"/>
      </w:r>
      <w:r>
        <w:rPr>
          <w:rFonts w:hint="eastAsia" w:hAnsi="Times New Roman" w:cs="Times New Roman"/>
          <w:lang w:val="en-US" w:eastAsia="zh-CN"/>
        </w:rPr>
        <w:t>6.2.</w:t>
      </w:r>
      <w:r>
        <w:rPr>
          <w:rFonts w:hint="eastAsia" w:cs="Times New Roman"/>
          <w:lang w:val="en-US" w:eastAsia="zh-CN"/>
        </w:rPr>
        <w:t>2</w:t>
      </w:r>
      <w:r>
        <w:rPr>
          <w:rFonts w:hint="eastAsia" w:hAnsi="Times New Roman" w:cs="Times New Roman"/>
          <w:lang w:val="en-US" w:eastAsia="zh-CN"/>
        </w:rPr>
        <w:t>实施</w:t>
      </w:r>
      <w:r>
        <w:tab/>
      </w:r>
      <w:r>
        <w:fldChar w:fldCharType="begin"/>
      </w:r>
      <w:r>
        <w:instrText xml:space="preserve"> PAGEREF _Toc7859 </w:instrText>
      </w:r>
      <w:r>
        <w:fldChar w:fldCharType="separate"/>
      </w:r>
      <w:r>
        <w:t>15</w:t>
      </w:r>
      <w:r>
        <w:fldChar w:fldCharType="end"/>
      </w:r>
      <w:r>
        <w:rPr>
          <w:rFonts w:hint="default"/>
          <w:lang w:val="en-US"/>
        </w:rPr>
        <w:fldChar w:fldCharType="end"/>
      </w:r>
    </w:p>
    <w:p>
      <w:pPr>
        <w:pStyle w:val="11"/>
        <w:tabs>
          <w:tab w:val="right" w:leader="dot" w:pos="9354"/>
          <w:tab w:val="clear" w:pos="9241"/>
        </w:tabs>
      </w:pPr>
      <w:r>
        <w:rPr>
          <w:rFonts w:hint="default"/>
          <w:lang w:val="en-US"/>
        </w:rPr>
        <w:fldChar w:fldCharType="begin"/>
      </w:r>
      <w:r>
        <w:rPr>
          <w:rFonts w:hint="default"/>
          <w:lang w:val="en-US"/>
        </w:rPr>
        <w:instrText xml:space="preserve"> HYPERLINK \l _Toc15106 </w:instrText>
      </w:r>
      <w:r>
        <w:rPr>
          <w:rFonts w:hint="default"/>
          <w:lang w:val="en-US"/>
        </w:rPr>
        <w:fldChar w:fldCharType="separate"/>
      </w:r>
      <w:r>
        <w:rPr>
          <w:rFonts w:hint="eastAsia" w:ascii="黑体" w:hAnsi="Times New Roman" w:eastAsia="黑体" w:cs="Times New Roman"/>
          <w:bCs w:val="0"/>
          <w:i w:val="0"/>
          <w:iCs w:val="0"/>
          <w:caps w:val="0"/>
          <w:strike w:val="0"/>
          <w:dstrike w:val="0"/>
          <w:outline w:val="0"/>
          <w:shadow w:val="0"/>
          <w:emboss w:val="0"/>
          <w:imprint w:val="0"/>
          <w:vanish w:val="0"/>
          <w:spacing w:val="0"/>
          <w:kern w:val="0"/>
          <w:position w:val="0"/>
          <w:szCs w:val="21"/>
          <w:vertAlign w:val="baseline"/>
          <w:lang w:val="en-US" w:eastAsia="zh-CN"/>
        </w:rPr>
        <w:t xml:space="preserve">6.3 </w:t>
      </w:r>
      <w:r>
        <w:rPr>
          <w:rFonts w:hint="eastAsia"/>
          <w:lang w:val="en-US" w:eastAsia="zh-CN"/>
        </w:rPr>
        <w:t>隐患治理</w:t>
      </w:r>
      <w:r>
        <w:tab/>
      </w:r>
      <w:r>
        <w:fldChar w:fldCharType="begin"/>
      </w:r>
      <w:r>
        <w:instrText xml:space="preserve"> PAGEREF _Toc15106 </w:instrText>
      </w:r>
      <w:r>
        <w:fldChar w:fldCharType="separate"/>
      </w:r>
      <w:r>
        <w:t>16</w:t>
      </w:r>
      <w:r>
        <w:fldChar w:fldCharType="end"/>
      </w:r>
      <w:r>
        <w:rPr>
          <w:rFonts w:hint="default"/>
          <w:lang w:val="en-US"/>
        </w:rPr>
        <w:fldChar w:fldCharType="end"/>
      </w:r>
    </w:p>
    <w:p>
      <w:pPr>
        <w:pStyle w:val="11"/>
        <w:tabs>
          <w:tab w:val="right" w:leader="dot" w:pos="9354"/>
          <w:tab w:val="clear" w:pos="9241"/>
        </w:tabs>
      </w:pPr>
      <w:r>
        <w:rPr>
          <w:rFonts w:hint="default"/>
          <w:lang w:val="en-US"/>
        </w:rPr>
        <w:fldChar w:fldCharType="begin"/>
      </w:r>
      <w:r>
        <w:rPr>
          <w:rFonts w:hint="default"/>
          <w:lang w:val="en-US"/>
        </w:rPr>
        <w:instrText xml:space="preserve"> HYPERLINK \l _Toc19555 </w:instrText>
      </w:r>
      <w:r>
        <w:rPr>
          <w:rFonts w:hint="default"/>
          <w:lang w:val="en-US"/>
        </w:rPr>
        <w:fldChar w:fldCharType="separate"/>
      </w:r>
      <w:r>
        <w:rPr>
          <w:rFonts w:hint="eastAsia" w:hAnsi="Times New Roman" w:cs="Times New Roman"/>
          <w:lang w:val="en-US" w:eastAsia="zh-CN"/>
        </w:rPr>
        <w:t>6.3.1</w:t>
      </w:r>
      <w:r>
        <w:rPr>
          <w:rFonts w:hint="eastAsia" w:cs="Times New Roman"/>
          <w:lang w:val="en-US" w:eastAsia="zh-CN"/>
        </w:rPr>
        <w:t>分级</w:t>
      </w:r>
      <w:r>
        <w:rPr>
          <w:rFonts w:hint="eastAsia" w:hAnsi="Times New Roman" w:cs="Times New Roman"/>
          <w:lang w:val="en-US" w:eastAsia="zh-CN"/>
        </w:rPr>
        <w:t>治理</w:t>
      </w:r>
      <w:r>
        <w:tab/>
      </w:r>
      <w:r>
        <w:fldChar w:fldCharType="begin"/>
      </w:r>
      <w:r>
        <w:instrText xml:space="preserve"> PAGEREF _Toc19555 </w:instrText>
      </w:r>
      <w:r>
        <w:fldChar w:fldCharType="separate"/>
      </w:r>
      <w:r>
        <w:t>16</w:t>
      </w:r>
      <w:r>
        <w:fldChar w:fldCharType="end"/>
      </w:r>
      <w:r>
        <w:rPr>
          <w:rFonts w:hint="default"/>
          <w:lang w:val="en-US"/>
        </w:rPr>
        <w:fldChar w:fldCharType="end"/>
      </w:r>
    </w:p>
    <w:p>
      <w:pPr>
        <w:pStyle w:val="11"/>
        <w:tabs>
          <w:tab w:val="right" w:leader="dot" w:pos="9354"/>
          <w:tab w:val="clear" w:pos="9241"/>
        </w:tabs>
      </w:pPr>
      <w:r>
        <w:rPr>
          <w:rFonts w:hint="default"/>
          <w:lang w:val="en-US"/>
        </w:rPr>
        <w:fldChar w:fldCharType="begin"/>
      </w:r>
      <w:r>
        <w:rPr>
          <w:rFonts w:hint="default"/>
          <w:lang w:val="en-US"/>
        </w:rPr>
        <w:instrText xml:space="preserve"> HYPERLINK \l _Toc192 </w:instrText>
      </w:r>
      <w:r>
        <w:rPr>
          <w:rFonts w:hint="default"/>
          <w:lang w:val="en-US"/>
        </w:rPr>
        <w:fldChar w:fldCharType="separate"/>
      </w:r>
      <w:r>
        <w:rPr>
          <w:rFonts w:hint="eastAsia" w:hAnsi="Times New Roman" w:cs="Times New Roman"/>
          <w:lang w:val="en-US" w:eastAsia="zh-CN"/>
        </w:rPr>
        <w:t>6.3.</w:t>
      </w:r>
      <w:r>
        <w:rPr>
          <w:rFonts w:hint="eastAsia" w:cs="Times New Roman"/>
          <w:lang w:val="en-US" w:eastAsia="zh-CN"/>
        </w:rPr>
        <w:t>2</w:t>
      </w:r>
      <w:r>
        <w:rPr>
          <w:rFonts w:hint="eastAsia" w:hAnsi="Times New Roman" w:cs="Times New Roman"/>
          <w:lang w:val="en-US" w:eastAsia="zh-CN"/>
        </w:rPr>
        <w:t>验收</w:t>
      </w:r>
      <w:r>
        <w:rPr>
          <w:rFonts w:hint="eastAsia" w:cs="Times New Roman"/>
          <w:lang w:val="en-US" w:eastAsia="zh-CN"/>
        </w:rPr>
        <w:t>评估</w:t>
      </w:r>
      <w:r>
        <w:tab/>
      </w:r>
      <w:r>
        <w:fldChar w:fldCharType="begin"/>
      </w:r>
      <w:r>
        <w:instrText xml:space="preserve"> PAGEREF _Toc192 </w:instrText>
      </w:r>
      <w:r>
        <w:fldChar w:fldCharType="separate"/>
      </w:r>
      <w:r>
        <w:t>16</w:t>
      </w:r>
      <w:r>
        <w:fldChar w:fldCharType="end"/>
      </w:r>
      <w:r>
        <w:rPr>
          <w:rFonts w:hint="default"/>
          <w:lang w:val="en-US"/>
        </w:rPr>
        <w:fldChar w:fldCharType="end"/>
      </w:r>
    </w:p>
    <w:p>
      <w:pPr>
        <w:pStyle w:val="11"/>
        <w:tabs>
          <w:tab w:val="right" w:leader="dot" w:pos="9354"/>
          <w:tab w:val="clear" w:pos="9241"/>
        </w:tabs>
      </w:pPr>
      <w:r>
        <w:rPr>
          <w:rFonts w:hint="default"/>
          <w:lang w:val="en-US"/>
        </w:rPr>
        <w:fldChar w:fldCharType="begin"/>
      </w:r>
      <w:r>
        <w:rPr>
          <w:rFonts w:hint="default"/>
          <w:lang w:val="en-US"/>
        </w:rPr>
        <w:instrText xml:space="preserve"> HYPERLINK \l _Toc6106 </w:instrText>
      </w:r>
      <w:r>
        <w:rPr>
          <w:rFonts w:hint="default"/>
          <w:lang w:val="en-US"/>
        </w:rPr>
        <w:fldChar w:fldCharType="separate"/>
      </w:r>
      <w:r>
        <w:rPr>
          <w:rFonts w:hint="eastAsia" w:ascii="黑体" w:hAnsi="Times New Roman" w:eastAsia="黑体" w:cs="Times New Roman"/>
          <w:bCs w:val="0"/>
          <w:i w:val="0"/>
          <w:iCs w:val="0"/>
          <w:caps w:val="0"/>
          <w:strike w:val="0"/>
          <w:dstrike w:val="0"/>
          <w:outline w:val="0"/>
          <w:shadow w:val="0"/>
          <w:emboss w:val="0"/>
          <w:imprint w:val="0"/>
          <w:vanish w:val="0"/>
          <w:spacing w:val="0"/>
          <w:kern w:val="0"/>
          <w:position w:val="0"/>
          <w:szCs w:val="21"/>
          <w:vertAlign w:val="baseline"/>
          <w:lang w:val="en-US" w:eastAsia="zh-CN"/>
        </w:rPr>
        <w:t xml:space="preserve">6.4 </w:t>
      </w:r>
      <w:r>
        <w:rPr>
          <w:rFonts w:hint="eastAsia" w:cs="Times New Roman"/>
          <w:lang w:val="en-US" w:eastAsia="zh-CN"/>
        </w:rPr>
        <w:t>通报与报告</w:t>
      </w:r>
      <w:r>
        <w:tab/>
      </w:r>
      <w:r>
        <w:fldChar w:fldCharType="begin"/>
      </w:r>
      <w:r>
        <w:instrText xml:space="preserve"> PAGEREF _Toc6106 </w:instrText>
      </w:r>
      <w:r>
        <w:fldChar w:fldCharType="separate"/>
      </w:r>
      <w:r>
        <w:t>16</w:t>
      </w:r>
      <w:r>
        <w:fldChar w:fldCharType="end"/>
      </w:r>
      <w:r>
        <w:rPr>
          <w:rFonts w:hint="default"/>
          <w:lang w:val="en-US"/>
        </w:rPr>
        <w:fldChar w:fldCharType="end"/>
      </w:r>
    </w:p>
    <w:p>
      <w:pPr>
        <w:pStyle w:val="17"/>
        <w:tabs>
          <w:tab w:val="right" w:leader="dot" w:pos="9354"/>
          <w:tab w:val="clear" w:pos="9242"/>
        </w:tabs>
      </w:pPr>
      <w:r>
        <w:rPr>
          <w:rFonts w:hint="default"/>
          <w:lang w:val="en-US"/>
        </w:rPr>
        <w:fldChar w:fldCharType="begin"/>
      </w:r>
      <w:r>
        <w:rPr>
          <w:rFonts w:hint="default"/>
          <w:lang w:val="en-US"/>
        </w:rPr>
        <w:instrText xml:space="preserve"> HYPERLINK \l _Toc11497 </w:instrText>
      </w:r>
      <w:r>
        <w:rPr>
          <w:rFonts w:hint="default"/>
          <w:lang w:val="en-US"/>
        </w:rPr>
        <w:fldChar w:fldCharType="separate"/>
      </w:r>
      <w:r>
        <w:rPr>
          <w:rFonts w:hint="eastAsia" w:ascii="黑体" w:hAnsi="Times New Roman" w:eastAsia="黑体"/>
          <w:i w:val="0"/>
          <w:szCs w:val="21"/>
          <w:lang w:val="en-US" w:eastAsia="zh-CN"/>
        </w:rPr>
        <w:t xml:space="preserve">7 </w:t>
      </w:r>
      <w:r>
        <w:rPr>
          <w:rFonts w:hint="eastAsia"/>
          <w:szCs w:val="22"/>
          <w:lang w:val="en-US" w:eastAsia="zh-CN"/>
        </w:rPr>
        <w:t>人力资源管理</w:t>
      </w:r>
      <w:r>
        <w:tab/>
      </w:r>
      <w:r>
        <w:fldChar w:fldCharType="begin"/>
      </w:r>
      <w:r>
        <w:instrText xml:space="preserve"> PAGEREF _Toc11497 </w:instrText>
      </w:r>
      <w:r>
        <w:fldChar w:fldCharType="separate"/>
      </w:r>
      <w:r>
        <w:t>16</w:t>
      </w:r>
      <w:r>
        <w:fldChar w:fldCharType="end"/>
      </w:r>
      <w:r>
        <w:rPr>
          <w:rFonts w:hint="default"/>
          <w:lang w:val="en-US"/>
        </w:rPr>
        <w:fldChar w:fldCharType="end"/>
      </w:r>
    </w:p>
    <w:p>
      <w:pPr>
        <w:pStyle w:val="11"/>
        <w:tabs>
          <w:tab w:val="right" w:leader="dot" w:pos="9354"/>
          <w:tab w:val="clear" w:pos="9241"/>
        </w:tabs>
      </w:pPr>
      <w:r>
        <w:rPr>
          <w:rFonts w:hint="default"/>
          <w:lang w:val="en-US"/>
        </w:rPr>
        <w:fldChar w:fldCharType="begin"/>
      </w:r>
      <w:r>
        <w:rPr>
          <w:rFonts w:hint="default"/>
          <w:lang w:val="en-US"/>
        </w:rPr>
        <w:instrText xml:space="preserve"> HYPERLINK \l _Toc14805 </w:instrText>
      </w:r>
      <w:r>
        <w:rPr>
          <w:rFonts w:hint="default"/>
          <w:lang w:val="en-US"/>
        </w:rPr>
        <w:fldChar w:fldCharType="separate"/>
      </w:r>
      <w:r>
        <w:rPr>
          <w:rFonts w:hint="eastAsia" w:ascii="黑体" w:hAnsi="Times New Roman" w:eastAsia="黑体" w:cs="Times New Roman"/>
          <w:bCs w:val="0"/>
          <w:i w:val="0"/>
          <w:iCs w:val="0"/>
          <w:caps w:val="0"/>
          <w:strike w:val="0"/>
          <w:dstrike w:val="0"/>
          <w:outline w:val="0"/>
          <w:shadow w:val="0"/>
          <w:emboss w:val="0"/>
          <w:imprint w:val="0"/>
          <w:vanish w:val="0"/>
          <w:spacing w:val="0"/>
          <w:kern w:val="0"/>
          <w:position w:val="0"/>
          <w:szCs w:val="21"/>
          <w:vertAlign w:val="baseline"/>
          <w:lang w:val="en-US" w:eastAsia="zh-CN"/>
        </w:rPr>
        <w:t xml:space="preserve">7.1 </w:t>
      </w:r>
      <w:r>
        <w:rPr>
          <w:rFonts w:hint="eastAsia"/>
          <w:lang w:val="en-US" w:eastAsia="zh-CN"/>
        </w:rPr>
        <w:t>领导作用</w:t>
      </w:r>
      <w:r>
        <w:tab/>
      </w:r>
      <w:r>
        <w:fldChar w:fldCharType="begin"/>
      </w:r>
      <w:r>
        <w:instrText xml:space="preserve"> PAGEREF _Toc14805 </w:instrText>
      </w:r>
      <w:r>
        <w:fldChar w:fldCharType="separate"/>
      </w:r>
      <w:r>
        <w:t>16</w:t>
      </w:r>
      <w:r>
        <w:fldChar w:fldCharType="end"/>
      </w:r>
      <w:r>
        <w:rPr>
          <w:rFonts w:hint="default"/>
          <w:lang w:val="en-US"/>
        </w:rPr>
        <w:fldChar w:fldCharType="end"/>
      </w:r>
    </w:p>
    <w:p>
      <w:pPr>
        <w:pStyle w:val="11"/>
        <w:tabs>
          <w:tab w:val="right" w:leader="dot" w:pos="9354"/>
          <w:tab w:val="clear" w:pos="9241"/>
        </w:tabs>
      </w:pPr>
      <w:r>
        <w:rPr>
          <w:rFonts w:hint="default"/>
          <w:lang w:val="en-US"/>
        </w:rPr>
        <w:fldChar w:fldCharType="begin"/>
      </w:r>
      <w:r>
        <w:rPr>
          <w:rFonts w:hint="default"/>
          <w:lang w:val="en-US"/>
        </w:rPr>
        <w:instrText xml:space="preserve"> HYPERLINK \l _Toc23864 </w:instrText>
      </w:r>
      <w:r>
        <w:rPr>
          <w:rFonts w:hint="default"/>
          <w:lang w:val="en-US"/>
        </w:rPr>
        <w:fldChar w:fldCharType="separate"/>
      </w:r>
      <w:r>
        <w:rPr>
          <w:rFonts w:hint="eastAsia" w:ascii="黑体" w:hAnsi="Times New Roman" w:eastAsia="黑体" w:cs="Times New Roman"/>
          <w:bCs w:val="0"/>
          <w:i w:val="0"/>
          <w:iCs w:val="0"/>
          <w:caps w:val="0"/>
          <w:strike w:val="0"/>
          <w:dstrike w:val="0"/>
          <w:outline w:val="0"/>
          <w:shadow w:val="0"/>
          <w:emboss w:val="0"/>
          <w:imprint w:val="0"/>
          <w:vanish w:val="0"/>
          <w:spacing w:val="0"/>
          <w:kern w:val="0"/>
          <w:position w:val="0"/>
          <w:szCs w:val="21"/>
          <w:vertAlign w:val="baseline"/>
          <w:lang w:val="en-US" w:eastAsia="zh-CN"/>
        </w:rPr>
        <w:t xml:space="preserve">7.2 </w:t>
      </w:r>
      <w:r>
        <w:rPr>
          <w:rFonts w:hint="eastAsia"/>
          <w:lang w:val="en-US" w:eastAsia="zh-CN"/>
        </w:rPr>
        <w:t>安全承诺</w:t>
      </w:r>
      <w:r>
        <w:tab/>
      </w:r>
      <w:r>
        <w:fldChar w:fldCharType="begin"/>
      </w:r>
      <w:r>
        <w:instrText xml:space="preserve"> PAGEREF _Toc23864 </w:instrText>
      </w:r>
      <w:r>
        <w:fldChar w:fldCharType="separate"/>
      </w:r>
      <w:r>
        <w:t>17</w:t>
      </w:r>
      <w:r>
        <w:fldChar w:fldCharType="end"/>
      </w:r>
      <w:r>
        <w:rPr>
          <w:rFonts w:hint="default"/>
          <w:lang w:val="en-US"/>
        </w:rPr>
        <w:fldChar w:fldCharType="end"/>
      </w:r>
    </w:p>
    <w:p>
      <w:pPr>
        <w:pStyle w:val="11"/>
        <w:tabs>
          <w:tab w:val="right" w:leader="dot" w:pos="9354"/>
          <w:tab w:val="clear" w:pos="9241"/>
        </w:tabs>
      </w:pPr>
      <w:r>
        <w:rPr>
          <w:rFonts w:hint="default"/>
          <w:lang w:val="en-US"/>
        </w:rPr>
        <w:fldChar w:fldCharType="begin"/>
      </w:r>
      <w:r>
        <w:rPr>
          <w:rFonts w:hint="default"/>
          <w:lang w:val="en-US"/>
        </w:rPr>
        <w:instrText xml:space="preserve"> HYPERLINK \l _Toc18767 </w:instrText>
      </w:r>
      <w:r>
        <w:rPr>
          <w:rFonts w:hint="default"/>
          <w:lang w:val="en-US"/>
        </w:rPr>
        <w:fldChar w:fldCharType="separate"/>
      </w:r>
      <w:r>
        <w:rPr>
          <w:rFonts w:hint="eastAsia" w:ascii="黑体" w:hAnsi="Times New Roman" w:eastAsia="黑体" w:cs="Times New Roman"/>
          <w:bCs w:val="0"/>
          <w:i w:val="0"/>
          <w:iCs w:val="0"/>
          <w:caps w:val="0"/>
          <w:strike w:val="0"/>
          <w:dstrike w:val="0"/>
          <w:outline w:val="0"/>
          <w:shadow w:val="0"/>
          <w:emboss w:val="0"/>
          <w:imprint w:val="0"/>
          <w:vanish w:val="0"/>
          <w:spacing w:val="0"/>
          <w:kern w:val="0"/>
          <w:position w:val="0"/>
          <w:szCs w:val="21"/>
          <w:vertAlign w:val="baseline"/>
          <w:lang w:val="en-US" w:eastAsia="zh-CN"/>
        </w:rPr>
        <w:t xml:space="preserve">7.3 </w:t>
      </w:r>
      <w:r>
        <w:rPr>
          <w:rFonts w:hint="eastAsia"/>
          <w:lang w:val="en-US" w:eastAsia="zh-CN"/>
        </w:rPr>
        <w:t>机构设置</w:t>
      </w:r>
      <w:r>
        <w:tab/>
      </w:r>
      <w:r>
        <w:fldChar w:fldCharType="begin"/>
      </w:r>
      <w:r>
        <w:instrText xml:space="preserve"> PAGEREF _Toc18767 </w:instrText>
      </w:r>
      <w:r>
        <w:fldChar w:fldCharType="separate"/>
      </w:r>
      <w:r>
        <w:t>17</w:t>
      </w:r>
      <w:r>
        <w:fldChar w:fldCharType="end"/>
      </w:r>
      <w:r>
        <w:rPr>
          <w:rFonts w:hint="default"/>
          <w:lang w:val="en-US"/>
        </w:rPr>
        <w:fldChar w:fldCharType="end"/>
      </w:r>
    </w:p>
    <w:p>
      <w:pPr>
        <w:pStyle w:val="11"/>
        <w:tabs>
          <w:tab w:val="right" w:leader="dot" w:pos="9354"/>
          <w:tab w:val="clear" w:pos="9241"/>
        </w:tabs>
      </w:pPr>
      <w:r>
        <w:rPr>
          <w:rFonts w:hint="default"/>
          <w:lang w:val="en-US"/>
        </w:rPr>
        <w:fldChar w:fldCharType="begin"/>
      </w:r>
      <w:r>
        <w:rPr>
          <w:rFonts w:hint="default"/>
          <w:lang w:val="en-US"/>
        </w:rPr>
        <w:instrText xml:space="preserve"> HYPERLINK \l _Toc9273 </w:instrText>
      </w:r>
      <w:r>
        <w:rPr>
          <w:rFonts w:hint="default"/>
          <w:lang w:val="en-US"/>
        </w:rPr>
        <w:fldChar w:fldCharType="separate"/>
      </w:r>
      <w:r>
        <w:rPr>
          <w:rFonts w:hint="eastAsia" w:ascii="黑体" w:hAnsi="Times New Roman" w:eastAsia="黑体" w:cs="Times New Roman"/>
          <w:bCs w:val="0"/>
          <w:i w:val="0"/>
          <w:iCs w:val="0"/>
          <w:caps w:val="0"/>
          <w:strike w:val="0"/>
          <w:dstrike w:val="0"/>
          <w:outline w:val="0"/>
          <w:shadow w:val="0"/>
          <w:emboss w:val="0"/>
          <w:imprint w:val="0"/>
          <w:vanish w:val="0"/>
          <w:spacing w:val="0"/>
          <w:kern w:val="0"/>
          <w:position w:val="0"/>
          <w:szCs w:val="21"/>
          <w:vertAlign w:val="baseline"/>
          <w:lang w:val="en-US" w:eastAsia="zh-CN"/>
        </w:rPr>
        <w:t xml:space="preserve">7.4 </w:t>
      </w:r>
      <w:r>
        <w:rPr>
          <w:rFonts w:hint="eastAsia"/>
          <w:lang w:val="en-US" w:eastAsia="zh-CN"/>
        </w:rPr>
        <w:t>人员配备</w:t>
      </w:r>
      <w:r>
        <w:tab/>
      </w:r>
      <w:r>
        <w:fldChar w:fldCharType="begin"/>
      </w:r>
      <w:r>
        <w:instrText xml:space="preserve"> PAGEREF _Toc9273 </w:instrText>
      </w:r>
      <w:r>
        <w:fldChar w:fldCharType="separate"/>
      </w:r>
      <w:r>
        <w:t>17</w:t>
      </w:r>
      <w:r>
        <w:fldChar w:fldCharType="end"/>
      </w:r>
      <w:r>
        <w:rPr>
          <w:rFonts w:hint="default"/>
          <w:lang w:val="en-US"/>
        </w:rPr>
        <w:fldChar w:fldCharType="end"/>
      </w:r>
    </w:p>
    <w:p>
      <w:pPr>
        <w:pStyle w:val="11"/>
        <w:tabs>
          <w:tab w:val="right" w:leader="dot" w:pos="9354"/>
          <w:tab w:val="clear" w:pos="9241"/>
        </w:tabs>
      </w:pPr>
      <w:r>
        <w:rPr>
          <w:rFonts w:hint="default"/>
          <w:lang w:val="en-US"/>
        </w:rPr>
        <w:fldChar w:fldCharType="begin"/>
      </w:r>
      <w:r>
        <w:rPr>
          <w:rFonts w:hint="default"/>
          <w:lang w:val="en-US"/>
        </w:rPr>
        <w:instrText xml:space="preserve"> HYPERLINK \l _Toc4121 </w:instrText>
      </w:r>
      <w:r>
        <w:rPr>
          <w:rFonts w:hint="default"/>
          <w:lang w:val="en-US"/>
        </w:rPr>
        <w:fldChar w:fldCharType="separate"/>
      </w:r>
      <w:r>
        <w:rPr>
          <w:rFonts w:hint="eastAsia" w:ascii="黑体" w:hAnsi="Times New Roman" w:eastAsia="黑体" w:cs="Times New Roman"/>
          <w:bCs w:val="0"/>
          <w:i w:val="0"/>
          <w:iCs w:val="0"/>
          <w:caps w:val="0"/>
          <w:strike w:val="0"/>
          <w:dstrike w:val="0"/>
          <w:outline w:val="0"/>
          <w:shadow w:val="0"/>
          <w:emboss w:val="0"/>
          <w:imprint w:val="0"/>
          <w:vanish w:val="0"/>
          <w:spacing w:val="0"/>
          <w:kern w:val="0"/>
          <w:position w:val="0"/>
          <w:szCs w:val="21"/>
          <w:vertAlign w:val="baseline"/>
          <w:lang w:val="en-US" w:eastAsia="zh-CN"/>
        </w:rPr>
        <w:t xml:space="preserve">7.5 </w:t>
      </w:r>
      <w:r>
        <w:rPr>
          <w:rFonts w:hint="default"/>
          <w:lang w:val="en-US" w:eastAsia="zh-CN"/>
        </w:rPr>
        <w:t>职责权限</w:t>
      </w:r>
      <w:r>
        <w:tab/>
      </w:r>
      <w:r>
        <w:fldChar w:fldCharType="begin"/>
      </w:r>
      <w:r>
        <w:instrText xml:space="preserve"> PAGEREF _Toc4121 </w:instrText>
      </w:r>
      <w:r>
        <w:fldChar w:fldCharType="separate"/>
      </w:r>
      <w:r>
        <w:t>18</w:t>
      </w:r>
      <w:r>
        <w:fldChar w:fldCharType="end"/>
      </w:r>
      <w:r>
        <w:rPr>
          <w:rFonts w:hint="default"/>
          <w:lang w:val="en-US"/>
        </w:rPr>
        <w:fldChar w:fldCharType="end"/>
      </w:r>
    </w:p>
    <w:p>
      <w:pPr>
        <w:pStyle w:val="11"/>
        <w:tabs>
          <w:tab w:val="right" w:leader="dot" w:pos="9354"/>
          <w:tab w:val="clear" w:pos="9241"/>
        </w:tabs>
      </w:pPr>
      <w:r>
        <w:rPr>
          <w:rFonts w:hint="default"/>
          <w:lang w:val="en-US"/>
        </w:rPr>
        <w:fldChar w:fldCharType="begin"/>
      </w:r>
      <w:r>
        <w:rPr>
          <w:rFonts w:hint="default"/>
          <w:lang w:val="en-US"/>
        </w:rPr>
        <w:instrText xml:space="preserve"> HYPERLINK \l _Toc6420 </w:instrText>
      </w:r>
      <w:r>
        <w:rPr>
          <w:rFonts w:hint="default"/>
          <w:lang w:val="en-US"/>
        </w:rPr>
        <w:fldChar w:fldCharType="separate"/>
      </w:r>
      <w:r>
        <w:rPr>
          <w:rFonts w:hint="eastAsia" w:ascii="黑体" w:hAnsi="Times New Roman" w:eastAsia="黑体" w:cs="Times New Roman"/>
          <w:bCs w:val="0"/>
          <w:i w:val="0"/>
          <w:iCs w:val="0"/>
          <w:caps w:val="0"/>
          <w:strike w:val="0"/>
          <w:dstrike w:val="0"/>
          <w:outline w:val="0"/>
          <w:shadow w:val="0"/>
          <w:emboss w:val="0"/>
          <w:imprint w:val="0"/>
          <w:vanish w:val="0"/>
          <w:spacing w:val="0"/>
          <w:kern w:val="0"/>
          <w:position w:val="0"/>
          <w:szCs w:val="21"/>
          <w:vertAlign w:val="baseline"/>
          <w:lang w:val="en-US" w:eastAsia="zh-CN"/>
        </w:rPr>
        <w:t xml:space="preserve">7.6 </w:t>
      </w:r>
      <w:r>
        <w:rPr>
          <w:rFonts w:hint="default"/>
          <w:lang w:val="en-US" w:eastAsia="zh-CN"/>
        </w:rPr>
        <w:t>能力</w:t>
      </w:r>
      <w:r>
        <w:rPr>
          <w:rFonts w:hint="eastAsia"/>
          <w:lang w:val="en-US" w:eastAsia="zh-CN"/>
        </w:rPr>
        <w:t>意识</w:t>
      </w:r>
      <w:r>
        <w:tab/>
      </w:r>
      <w:r>
        <w:fldChar w:fldCharType="begin"/>
      </w:r>
      <w:r>
        <w:instrText xml:space="preserve"> PAGEREF _Toc6420 </w:instrText>
      </w:r>
      <w:r>
        <w:fldChar w:fldCharType="separate"/>
      </w:r>
      <w:r>
        <w:t>18</w:t>
      </w:r>
      <w:r>
        <w:fldChar w:fldCharType="end"/>
      </w:r>
      <w:r>
        <w:rPr>
          <w:rFonts w:hint="default"/>
          <w:lang w:val="en-US"/>
        </w:rPr>
        <w:fldChar w:fldCharType="end"/>
      </w:r>
    </w:p>
    <w:p>
      <w:pPr>
        <w:pStyle w:val="11"/>
        <w:tabs>
          <w:tab w:val="right" w:leader="dot" w:pos="9354"/>
          <w:tab w:val="clear" w:pos="9241"/>
        </w:tabs>
      </w:pPr>
      <w:r>
        <w:rPr>
          <w:rFonts w:hint="default"/>
          <w:lang w:val="en-US"/>
        </w:rPr>
        <w:fldChar w:fldCharType="begin"/>
      </w:r>
      <w:r>
        <w:rPr>
          <w:rFonts w:hint="default"/>
          <w:lang w:val="en-US"/>
        </w:rPr>
        <w:instrText xml:space="preserve"> HYPERLINK \l _Toc14396 </w:instrText>
      </w:r>
      <w:r>
        <w:rPr>
          <w:rFonts w:hint="default"/>
          <w:lang w:val="en-US"/>
        </w:rPr>
        <w:fldChar w:fldCharType="separate"/>
      </w:r>
      <w:r>
        <w:rPr>
          <w:rFonts w:hint="eastAsia"/>
          <w:lang w:val="en-US" w:eastAsia="zh-CN"/>
        </w:rPr>
        <w:t>7.6.1能力</w:t>
      </w:r>
      <w:r>
        <w:tab/>
      </w:r>
      <w:r>
        <w:fldChar w:fldCharType="begin"/>
      </w:r>
      <w:r>
        <w:instrText xml:space="preserve"> PAGEREF _Toc14396 </w:instrText>
      </w:r>
      <w:r>
        <w:fldChar w:fldCharType="separate"/>
      </w:r>
      <w:r>
        <w:t>18</w:t>
      </w:r>
      <w:r>
        <w:fldChar w:fldCharType="end"/>
      </w:r>
      <w:r>
        <w:rPr>
          <w:rFonts w:hint="default"/>
          <w:lang w:val="en-US"/>
        </w:rPr>
        <w:fldChar w:fldCharType="end"/>
      </w:r>
    </w:p>
    <w:p>
      <w:pPr>
        <w:pStyle w:val="11"/>
        <w:tabs>
          <w:tab w:val="right" w:leader="dot" w:pos="9354"/>
          <w:tab w:val="clear" w:pos="9241"/>
        </w:tabs>
      </w:pPr>
      <w:r>
        <w:rPr>
          <w:rFonts w:hint="default"/>
          <w:lang w:val="en-US"/>
        </w:rPr>
        <w:fldChar w:fldCharType="begin"/>
      </w:r>
      <w:r>
        <w:rPr>
          <w:rFonts w:hint="default"/>
          <w:lang w:val="en-US"/>
        </w:rPr>
        <w:instrText xml:space="preserve"> HYPERLINK \l _Toc28002 </w:instrText>
      </w:r>
      <w:r>
        <w:rPr>
          <w:rFonts w:hint="default"/>
          <w:lang w:val="en-US"/>
        </w:rPr>
        <w:fldChar w:fldCharType="separate"/>
      </w:r>
      <w:r>
        <w:rPr>
          <w:rFonts w:hint="eastAsia"/>
          <w:lang w:val="en-US" w:eastAsia="zh-CN"/>
        </w:rPr>
        <w:t>7.6.2意识</w:t>
      </w:r>
      <w:r>
        <w:tab/>
      </w:r>
      <w:r>
        <w:fldChar w:fldCharType="begin"/>
      </w:r>
      <w:r>
        <w:instrText xml:space="preserve"> PAGEREF _Toc28002 </w:instrText>
      </w:r>
      <w:r>
        <w:fldChar w:fldCharType="separate"/>
      </w:r>
      <w:r>
        <w:t>18</w:t>
      </w:r>
      <w:r>
        <w:fldChar w:fldCharType="end"/>
      </w:r>
      <w:r>
        <w:rPr>
          <w:rFonts w:hint="default"/>
          <w:lang w:val="en-US"/>
        </w:rPr>
        <w:fldChar w:fldCharType="end"/>
      </w:r>
    </w:p>
    <w:p>
      <w:pPr>
        <w:pStyle w:val="11"/>
        <w:tabs>
          <w:tab w:val="right" w:leader="dot" w:pos="9354"/>
          <w:tab w:val="clear" w:pos="9241"/>
        </w:tabs>
      </w:pPr>
      <w:r>
        <w:rPr>
          <w:rFonts w:hint="default"/>
          <w:lang w:val="en-US"/>
        </w:rPr>
        <w:fldChar w:fldCharType="begin"/>
      </w:r>
      <w:r>
        <w:rPr>
          <w:rFonts w:hint="default"/>
          <w:lang w:val="en-US"/>
        </w:rPr>
        <w:instrText xml:space="preserve"> HYPERLINK \l _Toc14980 </w:instrText>
      </w:r>
      <w:r>
        <w:rPr>
          <w:rFonts w:hint="default"/>
          <w:lang w:val="en-US"/>
        </w:rPr>
        <w:fldChar w:fldCharType="separate"/>
      </w:r>
      <w:r>
        <w:rPr>
          <w:rFonts w:hint="eastAsia" w:ascii="黑体" w:hAnsi="Times New Roman" w:eastAsia="黑体" w:cs="Times New Roman"/>
          <w:bCs w:val="0"/>
          <w:i w:val="0"/>
          <w:iCs w:val="0"/>
          <w:caps w:val="0"/>
          <w:strike w:val="0"/>
          <w:dstrike w:val="0"/>
          <w:outline w:val="0"/>
          <w:shadow w:val="0"/>
          <w:emboss w:val="0"/>
          <w:imprint w:val="0"/>
          <w:vanish w:val="0"/>
          <w:spacing w:val="0"/>
          <w:kern w:val="0"/>
          <w:position w:val="0"/>
          <w:szCs w:val="21"/>
          <w:vertAlign w:val="baseline"/>
          <w:lang w:val="en-US" w:eastAsia="zh-CN"/>
        </w:rPr>
        <w:t xml:space="preserve">7.7 </w:t>
      </w:r>
      <w:r>
        <w:rPr>
          <w:rFonts w:hint="default"/>
          <w:lang w:val="en-US" w:eastAsia="zh-CN"/>
        </w:rPr>
        <w:t>信息交流</w:t>
      </w:r>
      <w:r>
        <w:tab/>
      </w:r>
      <w:r>
        <w:fldChar w:fldCharType="begin"/>
      </w:r>
      <w:r>
        <w:instrText xml:space="preserve"> PAGEREF _Toc14980 </w:instrText>
      </w:r>
      <w:r>
        <w:fldChar w:fldCharType="separate"/>
      </w:r>
      <w:r>
        <w:t>18</w:t>
      </w:r>
      <w:r>
        <w:fldChar w:fldCharType="end"/>
      </w:r>
      <w:r>
        <w:rPr>
          <w:rFonts w:hint="default"/>
          <w:lang w:val="en-US"/>
        </w:rPr>
        <w:fldChar w:fldCharType="end"/>
      </w:r>
    </w:p>
    <w:p>
      <w:pPr>
        <w:pStyle w:val="17"/>
        <w:tabs>
          <w:tab w:val="right" w:leader="dot" w:pos="9354"/>
          <w:tab w:val="clear" w:pos="9242"/>
        </w:tabs>
      </w:pPr>
      <w:r>
        <w:rPr>
          <w:rFonts w:hint="default"/>
          <w:lang w:val="en-US"/>
        </w:rPr>
        <w:fldChar w:fldCharType="begin"/>
      </w:r>
      <w:r>
        <w:rPr>
          <w:rFonts w:hint="default"/>
          <w:lang w:val="en-US"/>
        </w:rPr>
        <w:instrText xml:space="preserve"> HYPERLINK \l _Toc24592 </w:instrText>
      </w:r>
      <w:r>
        <w:rPr>
          <w:rFonts w:hint="default"/>
          <w:lang w:val="en-US"/>
        </w:rPr>
        <w:fldChar w:fldCharType="separate"/>
      </w:r>
      <w:r>
        <w:rPr>
          <w:rFonts w:hint="eastAsia" w:ascii="黑体" w:hAnsi="Times New Roman" w:eastAsia="黑体"/>
          <w:i w:val="0"/>
          <w:szCs w:val="21"/>
          <w:lang w:val="en-US" w:eastAsia="zh-CN"/>
        </w:rPr>
        <w:t xml:space="preserve">8 </w:t>
      </w:r>
      <w:r>
        <w:rPr>
          <w:rFonts w:hint="eastAsia"/>
          <w:szCs w:val="22"/>
          <w:lang w:val="en-US" w:eastAsia="zh-CN"/>
        </w:rPr>
        <w:t>供应商/分包方管理</w:t>
      </w:r>
      <w:r>
        <w:tab/>
      </w:r>
      <w:r>
        <w:fldChar w:fldCharType="begin"/>
      </w:r>
      <w:r>
        <w:instrText xml:space="preserve"> PAGEREF _Toc24592 </w:instrText>
      </w:r>
      <w:r>
        <w:fldChar w:fldCharType="separate"/>
      </w:r>
      <w:r>
        <w:t>18</w:t>
      </w:r>
      <w:r>
        <w:fldChar w:fldCharType="end"/>
      </w:r>
      <w:r>
        <w:rPr>
          <w:rFonts w:hint="default"/>
          <w:lang w:val="en-US"/>
        </w:rPr>
        <w:fldChar w:fldCharType="end"/>
      </w:r>
    </w:p>
    <w:p>
      <w:pPr>
        <w:pStyle w:val="11"/>
        <w:tabs>
          <w:tab w:val="right" w:leader="dot" w:pos="9354"/>
          <w:tab w:val="clear" w:pos="9241"/>
        </w:tabs>
      </w:pPr>
      <w:r>
        <w:rPr>
          <w:rFonts w:hint="default"/>
          <w:lang w:val="en-US"/>
        </w:rPr>
        <w:fldChar w:fldCharType="begin"/>
      </w:r>
      <w:r>
        <w:rPr>
          <w:rFonts w:hint="default"/>
          <w:lang w:val="en-US"/>
        </w:rPr>
        <w:instrText xml:space="preserve"> HYPERLINK \l _Toc4232 </w:instrText>
      </w:r>
      <w:r>
        <w:rPr>
          <w:rFonts w:hint="default"/>
          <w:lang w:val="en-US"/>
        </w:rPr>
        <w:fldChar w:fldCharType="separate"/>
      </w:r>
      <w:r>
        <w:rPr>
          <w:rFonts w:hint="eastAsia" w:ascii="黑体" w:hAnsi="Times New Roman" w:eastAsia="黑体" w:cs="Times New Roman"/>
          <w:bCs w:val="0"/>
          <w:i w:val="0"/>
          <w:iCs w:val="0"/>
          <w:caps w:val="0"/>
          <w:strike w:val="0"/>
          <w:dstrike w:val="0"/>
          <w:outline w:val="0"/>
          <w:shadow w:val="0"/>
          <w:emboss w:val="0"/>
          <w:imprint w:val="0"/>
          <w:vanish w:val="0"/>
          <w:spacing w:val="0"/>
          <w:kern w:val="0"/>
          <w:position w:val="0"/>
          <w:szCs w:val="21"/>
          <w:vertAlign w:val="baseline"/>
          <w:lang w:val="en-US" w:eastAsia="zh-CN"/>
        </w:rPr>
        <w:t xml:space="preserve">8.1 </w:t>
      </w:r>
      <w:r>
        <w:rPr>
          <w:rFonts w:hint="eastAsia"/>
          <w:lang w:val="en-US" w:eastAsia="zh-CN"/>
        </w:rPr>
        <w:t>供应商管理</w:t>
      </w:r>
      <w:r>
        <w:tab/>
      </w:r>
      <w:r>
        <w:fldChar w:fldCharType="begin"/>
      </w:r>
      <w:r>
        <w:instrText xml:space="preserve"> PAGEREF _Toc4232 </w:instrText>
      </w:r>
      <w:r>
        <w:fldChar w:fldCharType="separate"/>
      </w:r>
      <w:r>
        <w:t>19</w:t>
      </w:r>
      <w:r>
        <w:fldChar w:fldCharType="end"/>
      </w:r>
      <w:r>
        <w:rPr>
          <w:rFonts w:hint="default"/>
          <w:lang w:val="en-US"/>
        </w:rPr>
        <w:fldChar w:fldCharType="end"/>
      </w:r>
    </w:p>
    <w:p>
      <w:pPr>
        <w:pStyle w:val="11"/>
        <w:tabs>
          <w:tab w:val="right" w:leader="dot" w:pos="9354"/>
          <w:tab w:val="clear" w:pos="9241"/>
        </w:tabs>
      </w:pPr>
      <w:r>
        <w:rPr>
          <w:rFonts w:hint="default"/>
          <w:lang w:val="en-US"/>
        </w:rPr>
        <w:fldChar w:fldCharType="begin"/>
      </w:r>
      <w:r>
        <w:rPr>
          <w:rFonts w:hint="default"/>
          <w:lang w:val="en-US"/>
        </w:rPr>
        <w:instrText xml:space="preserve"> HYPERLINK \l _Toc1019 </w:instrText>
      </w:r>
      <w:r>
        <w:rPr>
          <w:rFonts w:hint="default"/>
          <w:lang w:val="en-US"/>
        </w:rPr>
        <w:fldChar w:fldCharType="separate"/>
      </w:r>
      <w:r>
        <w:rPr>
          <w:rFonts w:hint="eastAsia"/>
          <w:highlight w:val="none"/>
          <w:lang w:val="en-US" w:eastAsia="zh-CN"/>
        </w:rPr>
        <w:t>8.1.1供应商选择</w:t>
      </w:r>
      <w:r>
        <w:tab/>
      </w:r>
      <w:r>
        <w:fldChar w:fldCharType="begin"/>
      </w:r>
      <w:r>
        <w:instrText xml:space="preserve"> PAGEREF _Toc1019 </w:instrText>
      </w:r>
      <w:r>
        <w:fldChar w:fldCharType="separate"/>
      </w:r>
      <w:r>
        <w:t>19</w:t>
      </w:r>
      <w:r>
        <w:fldChar w:fldCharType="end"/>
      </w:r>
      <w:r>
        <w:rPr>
          <w:rFonts w:hint="default"/>
          <w:lang w:val="en-US"/>
        </w:rPr>
        <w:fldChar w:fldCharType="end"/>
      </w:r>
    </w:p>
    <w:p>
      <w:pPr>
        <w:pStyle w:val="11"/>
        <w:tabs>
          <w:tab w:val="right" w:leader="dot" w:pos="9354"/>
          <w:tab w:val="clear" w:pos="9241"/>
        </w:tabs>
      </w:pPr>
      <w:r>
        <w:rPr>
          <w:rFonts w:hint="default"/>
          <w:lang w:val="en-US"/>
        </w:rPr>
        <w:fldChar w:fldCharType="begin"/>
      </w:r>
      <w:r>
        <w:rPr>
          <w:rFonts w:hint="default"/>
          <w:lang w:val="en-US"/>
        </w:rPr>
        <w:instrText xml:space="preserve"> HYPERLINK \l _Toc8831 </w:instrText>
      </w:r>
      <w:r>
        <w:rPr>
          <w:rFonts w:hint="default"/>
          <w:lang w:val="en-US"/>
        </w:rPr>
        <w:fldChar w:fldCharType="separate"/>
      </w:r>
      <w:r>
        <w:rPr>
          <w:rFonts w:hint="eastAsia"/>
          <w:szCs w:val="21"/>
          <w:highlight w:val="none"/>
          <w:lang w:val="en-US" w:eastAsia="zh-CN"/>
        </w:rPr>
        <w:t>8.1.2供应商评价</w:t>
      </w:r>
      <w:r>
        <w:tab/>
      </w:r>
      <w:r>
        <w:fldChar w:fldCharType="begin"/>
      </w:r>
      <w:r>
        <w:instrText xml:space="preserve"> PAGEREF _Toc8831 </w:instrText>
      </w:r>
      <w:r>
        <w:fldChar w:fldCharType="separate"/>
      </w:r>
      <w:r>
        <w:t>19</w:t>
      </w:r>
      <w:r>
        <w:fldChar w:fldCharType="end"/>
      </w:r>
      <w:r>
        <w:rPr>
          <w:rFonts w:hint="default"/>
          <w:lang w:val="en-US"/>
        </w:rPr>
        <w:fldChar w:fldCharType="end"/>
      </w:r>
    </w:p>
    <w:p>
      <w:pPr>
        <w:pStyle w:val="11"/>
        <w:tabs>
          <w:tab w:val="right" w:leader="dot" w:pos="9354"/>
          <w:tab w:val="clear" w:pos="9241"/>
        </w:tabs>
      </w:pPr>
      <w:r>
        <w:rPr>
          <w:rFonts w:hint="default"/>
          <w:lang w:val="en-US"/>
        </w:rPr>
        <w:fldChar w:fldCharType="begin"/>
      </w:r>
      <w:r>
        <w:rPr>
          <w:rFonts w:hint="default"/>
          <w:lang w:val="en-US"/>
        </w:rPr>
        <w:instrText xml:space="preserve"> HYPERLINK \l _Toc1542 </w:instrText>
      </w:r>
      <w:r>
        <w:rPr>
          <w:rFonts w:hint="default"/>
          <w:lang w:val="en-US"/>
        </w:rPr>
        <w:fldChar w:fldCharType="separate"/>
      </w:r>
      <w:r>
        <w:rPr>
          <w:rFonts w:hint="eastAsia" w:ascii="黑体" w:hAnsi="Times New Roman" w:eastAsia="黑体" w:cs="Times New Roman"/>
          <w:bCs w:val="0"/>
          <w:i w:val="0"/>
          <w:iCs w:val="0"/>
          <w:caps w:val="0"/>
          <w:strike w:val="0"/>
          <w:dstrike w:val="0"/>
          <w:outline w:val="0"/>
          <w:shadow w:val="0"/>
          <w:emboss w:val="0"/>
          <w:imprint w:val="0"/>
          <w:vanish w:val="0"/>
          <w:spacing w:val="0"/>
          <w:kern w:val="0"/>
          <w:position w:val="0"/>
          <w:szCs w:val="21"/>
          <w:vertAlign w:val="baseline"/>
          <w:lang w:val="en-US" w:eastAsia="zh-CN"/>
        </w:rPr>
        <w:t xml:space="preserve">8.2 </w:t>
      </w:r>
      <w:r>
        <w:rPr>
          <w:rFonts w:hint="eastAsia"/>
          <w:lang w:val="en-US" w:eastAsia="zh-CN"/>
        </w:rPr>
        <w:t>分包方管理</w:t>
      </w:r>
      <w:r>
        <w:tab/>
      </w:r>
      <w:r>
        <w:fldChar w:fldCharType="begin"/>
      </w:r>
      <w:r>
        <w:instrText xml:space="preserve"> PAGEREF _Toc1542 </w:instrText>
      </w:r>
      <w:r>
        <w:fldChar w:fldCharType="separate"/>
      </w:r>
      <w:r>
        <w:t>19</w:t>
      </w:r>
      <w:r>
        <w:fldChar w:fldCharType="end"/>
      </w:r>
      <w:r>
        <w:rPr>
          <w:rFonts w:hint="default"/>
          <w:lang w:val="en-US"/>
        </w:rPr>
        <w:fldChar w:fldCharType="end"/>
      </w:r>
    </w:p>
    <w:p>
      <w:pPr>
        <w:pStyle w:val="11"/>
        <w:tabs>
          <w:tab w:val="right" w:leader="dot" w:pos="9354"/>
          <w:tab w:val="clear" w:pos="9241"/>
        </w:tabs>
      </w:pPr>
      <w:r>
        <w:rPr>
          <w:rFonts w:hint="default"/>
          <w:lang w:val="en-US"/>
        </w:rPr>
        <w:fldChar w:fldCharType="begin"/>
      </w:r>
      <w:r>
        <w:rPr>
          <w:rFonts w:hint="default"/>
          <w:lang w:val="en-US"/>
        </w:rPr>
        <w:instrText xml:space="preserve"> HYPERLINK \l _Toc24870 </w:instrText>
      </w:r>
      <w:r>
        <w:rPr>
          <w:rFonts w:hint="default"/>
          <w:lang w:val="en-US"/>
        </w:rPr>
        <w:fldChar w:fldCharType="separate"/>
      </w:r>
      <w:r>
        <w:rPr>
          <w:rFonts w:hint="eastAsia"/>
          <w:lang w:val="en-US" w:eastAsia="zh-CN"/>
        </w:rPr>
        <w:t>8.2.1分包方选择</w:t>
      </w:r>
      <w:r>
        <w:tab/>
      </w:r>
      <w:r>
        <w:fldChar w:fldCharType="begin"/>
      </w:r>
      <w:r>
        <w:instrText xml:space="preserve"> PAGEREF _Toc24870 </w:instrText>
      </w:r>
      <w:r>
        <w:fldChar w:fldCharType="separate"/>
      </w:r>
      <w:r>
        <w:t>19</w:t>
      </w:r>
      <w:r>
        <w:fldChar w:fldCharType="end"/>
      </w:r>
      <w:r>
        <w:rPr>
          <w:rFonts w:hint="default"/>
          <w:lang w:val="en-US"/>
        </w:rPr>
        <w:fldChar w:fldCharType="end"/>
      </w:r>
    </w:p>
    <w:p>
      <w:pPr>
        <w:pStyle w:val="11"/>
        <w:tabs>
          <w:tab w:val="right" w:leader="dot" w:pos="9354"/>
          <w:tab w:val="clear" w:pos="9241"/>
        </w:tabs>
      </w:pPr>
      <w:r>
        <w:rPr>
          <w:rFonts w:hint="default"/>
          <w:lang w:val="en-US"/>
        </w:rPr>
        <w:fldChar w:fldCharType="begin"/>
      </w:r>
      <w:r>
        <w:rPr>
          <w:rFonts w:hint="default"/>
          <w:lang w:val="en-US"/>
        </w:rPr>
        <w:instrText xml:space="preserve"> HYPERLINK \l _Toc13788 </w:instrText>
      </w:r>
      <w:r>
        <w:rPr>
          <w:rFonts w:hint="default"/>
          <w:lang w:val="en-US"/>
        </w:rPr>
        <w:fldChar w:fldCharType="separate"/>
      </w:r>
      <w:r>
        <w:rPr>
          <w:rFonts w:hint="eastAsia"/>
          <w:highlight w:val="none"/>
          <w:lang w:val="en-US" w:eastAsia="zh-CN"/>
        </w:rPr>
        <w:t>8.2.2分包方评价</w:t>
      </w:r>
      <w:r>
        <w:tab/>
      </w:r>
      <w:r>
        <w:fldChar w:fldCharType="begin"/>
      </w:r>
      <w:r>
        <w:instrText xml:space="preserve"> PAGEREF _Toc13788 </w:instrText>
      </w:r>
      <w:r>
        <w:fldChar w:fldCharType="separate"/>
      </w:r>
      <w:r>
        <w:t>20</w:t>
      </w:r>
      <w:r>
        <w:fldChar w:fldCharType="end"/>
      </w:r>
      <w:r>
        <w:rPr>
          <w:rFonts w:hint="default"/>
          <w:lang w:val="en-US"/>
        </w:rPr>
        <w:fldChar w:fldCharType="end"/>
      </w:r>
    </w:p>
    <w:p>
      <w:pPr>
        <w:pStyle w:val="17"/>
        <w:tabs>
          <w:tab w:val="right" w:leader="dot" w:pos="9354"/>
          <w:tab w:val="clear" w:pos="9242"/>
        </w:tabs>
      </w:pPr>
      <w:r>
        <w:rPr>
          <w:rFonts w:hint="default"/>
          <w:lang w:val="en-US"/>
        </w:rPr>
        <w:fldChar w:fldCharType="begin"/>
      </w:r>
      <w:r>
        <w:rPr>
          <w:rFonts w:hint="default"/>
          <w:lang w:val="en-US"/>
        </w:rPr>
        <w:instrText xml:space="preserve"> HYPERLINK \l _Toc24559 </w:instrText>
      </w:r>
      <w:r>
        <w:rPr>
          <w:rFonts w:hint="default"/>
          <w:lang w:val="en-US"/>
        </w:rPr>
        <w:fldChar w:fldCharType="separate"/>
      </w:r>
      <w:r>
        <w:rPr>
          <w:rFonts w:hint="eastAsia" w:ascii="黑体" w:hAnsi="Times New Roman" w:eastAsia="黑体"/>
          <w:i w:val="0"/>
          <w:szCs w:val="21"/>
          <w:lang w:val="en-US" w:eastAsia="zh-CN"/>
        </w:rPr>
        <w:t xml:space="preserve">9 </w:t>
      </w:r>
      <w:r>
        <w:rPr>
          <w:rFonts w:hint="eastAsia"/>
          <w:szCs w:val="22"/>
          <w:highlight w:val="none"/>
          <w:lang w:val="en-US" w:eastAsia="zh-CN"/>
        </w:rPr>
        <w:t>施工机具管理</w:t>
      </w:r>
      <w:r>
        <w:tab/>
      </w:r>
      <w:r>
        <w:fldChar w:fldCharType="begin"/>
      </w:r>
      <w:r>
        <w:instrText xml:space="preserve"> PAGEREF _Toc24559 </w:instrText>
      </w:r>
      <w:r>
        <w:fldChar w:fldCharType="separate"/>
      </w:r>
      <w:r>
        <w:t>20</w:t>
      </w:r>
      <w:r>
        <w:fldChar w:fldCharType="end"/>
      </w:r>
      <w:r>
        <w:rPr>
          <w:rFonts w:hint="default"/>
          <w:lang w:val="en-US"/>
        </w:rPr>
        <w:fldChar w:fldCharType="end"/>
      </w:r>
    </w:p>
    <w:p>
      <w:pPr>
        <w:pStyle w:val="11"/>
        <w:tabs>
          <w:tab w:val="right" w:leader="dot" w:pos="9354"/>
          <w:tab w:val="clear" w:pos="9241"/>
        </w:tabs>
      </w:pPr>
      <w:r>
        <w:rPr>
          <w:rFonts w:hint="default"/>
          <w:lang w:val="en-US"/>
        </w:rPr>
        <w:fldChar w:fldCharType="begin"/>
      </w:r>
      <w:r>
        <w:rPr>
          <w:rFonts w:hint="default"/>
          <w:lang w:val="en-US"/>
        </w:rPr>
        <w:instrText xml:space="preserve"> HYPERLINK \l _Toc6600 </w:instrText>
      </w:r>
      <w:r>
        <w:rPr>
          <w:rFonts w:hint="default"/>
          <w:lang w:val="en-US"/>
        </w:rPr>
        <w:fldChar w:fldCharType="separate"/>
      </w:r>
      <w:r>
        <w:rPr>
          <w:rFonts w:hint="eastAsia" w:ascii="黑体" w:hAnsi="Times New Roman" w:eastAsia="黑体" w:cs="Times New Roman"/>
          <w:bCs w:val="0"/>
          <w:i w:val="0"/>
          <w:iCs w:val="0"/>
          <w:caps w:val="0"/>
          <w:strike w:val="0"/>
          <w:dstrike w:val="0"/>
          <w:outline w:val="0"/>
          <w:shadow w:val="0"/>
          <w:emboss w:val="0"/>
          <w:imprint w:val="0"/>
          <w:vanish w:val="0"/>
          <w:spacing w:val="0"/>
          <w:kern w:val="0"/>
          <w:position w:val="0"/>
          <w:szCs w:val="21"/>
          <w:vertAlign w:val="baseline"/>
          <w:lang w:val="en-US" w:eastAsia="zh-CN"/>
        </w:rPr>
        <w:t xml:space="preserve">9.1 </w:t>
      </w:r>
      <w:r>
        <w:rPr>
          <w:rFonts w:hint="eastAsia"/>
          <w:lang w:val="en-US" w:eastAsia="zh-CN"/>
        </w:rPr>
        <w:t>需求识别</w:t>
      </w:r>
      <w:r>
        <w:tab/>
      </w:r>
      <w:r>
        <w:fldChar w:fldCharType="begin"/>
      </w:r>
      <w:r>
        <w:instrText xml:space="preserve"> PAGEREF _Toc6600 </w:instrText>
      </w:r>
      <w:r>
        <w:fldChar w:fldCharType="separate"/>
      </w:r>
      <w:r>
        <w:t>20</w:t>
      </w:r>
      <w:r>
        <w:fldChar w:fldCharType="end"/>
      </w:r>
      <w:r>
        <w:rPr>
          <w:rFonts w:hint="default"/>
          <w:lang w:val="en-US"/>
        </w:rPr>
        <w:fldChar w:fldCharType="end"/>
      </w:r>
    </w:p>
    <w:p>
      <w:pPr>
        <w:pStyle w:val="11"/>
        <w:tabs>
          <w:tab w:val="right" w:leader="dot" w:pos="9354"/>
          <w:tab w:val="clear" w:pos="9241"/>
        </w:tabs>
      </w:pPr>
      <w:r>
        <w:rPr>
          <w:rFonts w:hint="default"/>
          <w:lang w:val="en-US"/>
        </w:rPr>
        <w:fldChar w:fldCharType="begin"/>
      </w:r>
      <w:r>
        <w:rPr>
          <w:rFonts w:hint="default"/>
          <w:lang w:val="en-US"/>
        </w:rPr>
        <w:instrText xml:space="preserve"> HYPERLINK \l _Toc29171 </w:instrText>
      </w:r>
      <w:r>
        <w:rPr>
          <w:rFonts w:hint="default"/>
          <w:lang w:val="en-US"/>
        </w:rPr>
        <w:fldChar w:fldCharType="separate"/>
      </w:r>
      <w:r>
        <w:rPr>
          <w:rFonts w:hint="eastAsia" w:ascii="黑体" w:hAnsi="Times New Roman" w:eastAsia="黑体" w:cs="Times New Roman"/>
          <w:bCs w:val="0"/>
          <w:i w:val="0"/>
          <w:iCs w:val="0"/>
          <w:caps w:val="0"/>
          <w:strike w:val="0"/>
          <w:dstrike w:val="0"/>
          <w:outline w:val="0"/>
          <w:shadow w:val="0"/>
          <w:emboss w:val="0"/>
          <w:imprint w:val="0"/>
          <w:vanish w:val="0"/>
          <w:spacing w:val="0"/>
          <w:kern w:val="0"/>
          <w:position w:val="0"/>
          <w:szCs w:val="21"/>
          <w:vertAlign w:val="baseline"/>
          <w:lang w:val="en-US" w:eastAsia="zh-CN"/>
        </w:rPr>
        <w:t xml:space="preserve">9.2 </w:t>
      </w:r>
      <w:r>
        <w:rPr>
          <w:rFonts w:hint="eastAsia"/>
          <w:lang w:val="en-US" w:eastAsia="zh-CN"/>
        </w:rPr>
        <w:t>培训、使用与维护</w:t>
      </w:r>
      <w:r>
        <w:tab/>
      </w:r>
      <w:r>
        <w:fldChar w:fldCharType="begin"/>
      </w:r>
      <w:r>
        <w:instrText xml:space="preserve"> PAGEREF _Toc29171 </w:instrText>
      </w:r>
      <w:r>
        <w:fldChar w:fldCharType="separate"/>
      </w:r>
      <w:r>
        <w:t>20</w:t>
      </w:r>
      <w:r>
        <w:fldChar w:fldCharType="end"/>
      </w:r>
      <w:r>
        <w:rPr>
          <w:rFonts w:hint="default"/>
          <w:lang w:val="en-US"/>
        </w:rPr>
        <w:fldChar w:fldCharType="end"/>
      </w:r>
    </w:p>
    <w:p>
      <w:pPr>
        <w:pStyle w:val="11"/>
        <w:tabs>
          <w:tab w:val="right" w:leader="dot" w:pos="9354"/>
          <w:tab w:val="clear" w:pos="9241"/>
        </w:tabs>
      </w:pPr>
      <w:r>
        <w:rPr>
          <w:rFonts w:hint="default"/>
          <w:lang w:val="en-US"/>
        </w:rPr>
        <w:fldChar w:fldCharType="begin"/>
      </w:r>
      <w:r>
        <w:rPr>
          <w:rFonts w:hint="default"/>
          <w:lang w:val="en-US"/>
        </w:rPr>
        <w:instrText xml:space="preserve"> HYPERLINK \l _Toc3707 </w:instrText>
      </w:r>
      <w:r>
        <w:rPr>
          <w:rFonts w:hint="default"/>
          <w:lang w:val="en-US"/>
        </w:rPr>
        <w:fldChar w:fldCharType="separate"/>
      </w:r>
      <w:r>
        <w:rPr>
          <w:rFonts w:hint="eastAsia" w:ascii="黑体" w:hAnsi="Times New Roman" w:eastAsia="黑体" w:cs="Times New Roman"/>
          <w:bCs w:val="0"/>
          <w:i w:val="0"/>
          <w:iCs w:val="0"/>
          <w:caps w:val="0"/>
          <w:strike w:val="0"/>
          <w:dstrike w:val="0"/>
          <w:outline w:val="0"/>
          <w:shadow w:val="0"/>
          <w:emboss w:val="0"/>
          <w:imprint w:val="0"/>
          <w:vanish w:val="0"/>
          <w:spacing w:val="0"/>
          <w:kern w:val="0"/>
          <w:position w:val="0"/>
          <w:szCs w:val="21"/>
          <w:vertAlign w:val="baseline"/>
          <w:lang w:val="en-US" w:eastAsia="zh-CN"/>
        </w:rPr>
        <w:t xml:space="preserve">9.3 </w:t>
      </w:r>
      <w:r>
        <w:rPr>
          <w:rFonts w:hint="eastAsia"/>
          <w:lang w:val="en-US" w:eastAsia="zh-CN"/>
        </w:rPr>
        <w:t>检验与检查</w:t>
      </w:r>
      <w:r>
        <w:tab/>
      </w:r>
      <w:r>
        <w:fldChar w:fldCharType="begin"/>
      </w:r>
      <w:r>
        <w:instrText xml:space="preserve"> PAGEREF _Toc3707 </w:instrText>
      </w:r>
      <w:r>
        <w:fldChar w:fldCharType="separate"/>
      </w:r>
      <w:r>
        <w:t>20</w:t>
      </w:r>
      <w:r>
        <w:fldChar w:fldCharType="end"/>
      </w:r>
      <w:r>
        <w:rPr>
          <w:rFonts w:hint="default"/>
          <w:lang w:val="en-US"/>
        </w:rPr>
        <w:fldChar w:fldCharType="end"/>
      </w:r>
    </w:p>
    <w:p>
      <w:pPr>
        <w:pStyle w:val="11"/>
        <w:tabs>
          <w:tab w:val="right" w:leader="dot" w:pos="9354"/>
          <w:tab w:val="clear" w:pos="9241"/>
        </w:tabs>
      </w:pPr>
      <w:r>
        <w:rPr>
          <w:rFonts w:hint="default"/>
          <w:lang w:val="en-US"/>
        </w:rPr>
        <w:fldChar w:fldCharType="begin"/>
      </w:r>
      <w:r>
        <w:rPr>
          <w:rFonts w:hint="default"/>
          <w:lang w:val="en-US"/>
        </w:rPr>
        <w:instrText xml:space="preserve"> HYPERLINK \l _Toc26427 </w:instrText>
      </w:r>
      <w:r>
        <w:rPr>
          <w:rFonts w:hint="default"/>
          <w:lang w:val="en-US"/>
        </w:rPr>
        <w:fldChar w:fldCharType="separate"/>
      </w:r>
      <w:r>
        <w:rPr>
          <w:rFonts w:hint="eastAsia" w:ascii="黑体" w:hAnsi="Times New Roman" w:eastAsia="黑体" w:cs="Times New Roman"/>
          <w:bCs w:val="0"/>
          <w:i w:val="0"/>
          <w:iCs w:val="0"/>
          <w:caps w:val="0"/>
          <w:strike w:val="0"/>
          <w:dstrike w:val="0"/>
          <w:outline w:val="0"/>
          <w:shadow w:val="0"/>
          <w:emboss w:val="0"/>
          <w:imprint w:val="0"/>
          <w:vanish w:val="0"/>
          <w:spacing w:val="0"/>
          <w:kern w:val="0"/>
          <w:position w:val="0"/>
          <w:szCs w:val="21"/>
          <w:vertAlign w:val="baseline"/>
          <w:lang w:val="en-US" w:eastAsia="zh-CN"/>
        </w:rPr>
        <w:t xml:space="preserve">9.4 </w:t>
      </w:r>
      <w:r>
        <w:rPr>
          <w:rFonts w:hint="eastAsia"/>
          <w:lang w:val="en-US" w:eastAsia="zh-CN"/>
        </w:rPr>
        <w:t>安装与拆除</w:t>
      </w:r>
      <w:r>
        <w:tab/>
      </w:r>
      <w:r>
        <w:fldChar w:fldCharType="begin"/>
      </w:r>
      <w:r>
        <w:instrText xml:space="preserve"> PAGEREF _Toc26427 </w:instrText>
      </w:r>
      <w:r>
        <w:fldChar w:fldCharType="separate"/>
      </w:r>
      <w:r>
        <w:t>21</w:t>
      </w:r>
      <w:r>
        <w:fldChar w:fldCharType="end"/>
      </w:r>
      <w:r>
        <w:rPr>
          <w:rFonts w:hint="default"/>
          <w:lang w:val="en-US"/>
        </w:rPr>
        <w:fldChar w:fldCharType="end"/>
      </w:r>
    </w:p>
    <w:p>
      <w:pPr>
        <w:pStyle w:val="11"/>
        <w:tabs>
          <w:tab w:val="right" w:leader="dot" w:pos="9354"/>
          <w:tab w:val="clear" w:pos="9241"/>
        </w:tabs>
      </w:pPr>
      <w:r>
        <w:rPr>
          <w:rFonts w:hint="default"/>
          <w:lang w:val="en-US"/>
        </w:rPr>
        <w:fldChar w:fldCharType="begin"/>
      </w:r>
      <w:r>
        <w:rPr>
          <w:rFonts w:hint="default"/>
          <w:lang w:val="en-US"/>
        </w:rPr>
        <w:instrText xml:space="preserve"> HYPERLINK \l _Toc14760 </w:instrText>
      </w:r>
      <w:r>
        <w:rPr>
          <w:rFonts w:hint="default"/>
          <w:lang w:val="en-US"/>
        </w:rPr>
        <w:fldChar w:fldCharType="separate"/>
      </w:r>
      <w:r>
        <w:rPr>
          <w:rFonts w:hint="eastAsia" w:ascii="黑体" w:hAnsi="Times New Roman" w:eastAsia="黑体" w:cs="Times New Roman"/>
          <w:bCs w:val="0"/>
          <w:i w:val="0"/>
          <w:iCs w:val="0"/>
          <w:caps w:val="0"/>
          <w:strike w:val="0"/>
          <w:dstrike w:val="0"/>
          <w:outline w:val="0"/>
          <w:shadow w:val="0"/>
          <w:emboss w:val="0"/>
          <w:imprint w:val="0"/>
          <w:vanish w:val="0"/>
          <w:spacing w:val="0"/>
          <w:kern w:val="0"/>
          <w:position w:val="0"/>
          <w:szCs w:val="21"/>
          <w:vertAlign w:val="baseline"/>
          <w:lang w:val="en-US" w:eastAsia="zh-CN"/>
        </w:rPr>
        <w:t xml:space="preserve">9.5 </w:t>
      </w:r>
      <w:r>
        <w:rPr>
          <w:rFonts w:hint="eastAsia"/>
          <w:lang w:val="en-US" w:eastAsia="zh-CN"/>
        </w:rPr>
        <w:t>报废</w:t>
      </w:r>
      <w:r>
        <w:tab/>
      </w:r>
      <w:r>
        <w:fldChar w:fldCharType="begin"/>
      </w:r>
      <w:r>
        <w:instrText xml:space="preserve"> PAGEREF _Toc14760 </w:instrText>
      </w:r>
      <w:r>
        <w:fldChar w:fldCharType="separate"/>
      </w:r>
      <w:r>
        <w:t>21</w:t>
      </w:r>
      <w:r>
        <w:fldChar w:fldCharType="end"/>
      </w:r>
      <w:r>
        <w:rPr>
          <w:rFonts w:hint="default"/>
          <w:lang w:val="en-US"/>
        </w:rPr>
        <w:fldChar w:fldCharType="end"/>
      </w:r>
    </w:p>
    <w:p>
      <w:pPr>
        <w:pStyle w:val="17"/>
        <w:tabs>
          <w:tab w:val="right" w:leader="dot" w:pos="9354"/>
          <w:tab w:val="clear" w:pos="9242"/>
        </w:tabs>
      </w:pPr>
      <w:r>
        <w:rPr>
          <w:rFonts w:hint="default"/>
          <w:lang w:val="en-US"/>
        </w:rPr>
        <w:fldChar w:fldCharType="begin"/>
      </w:r>
      <w:r>
        <w:rPr>
          <w:rFonts w:hint="default"/>
          <w:lang w:val="en-US"/>
        </w:rPr>
        <w:instrText xml:space="preserve"> HYPERLINK \l _Toc13639 </w:instrText>
      </w:r>
      <w:r>
        <w:rPr>
          <w:rFonts w:hint="default"/>
          <w:lang w:val="en-US"/>
        </w:rPr>
        <w:fldChar w:fldCharType="separate"/>
      </w:r>
      <w:r>
        <w:rPr>
          <w:rFonts w:hint="eastAsia" w:ascii="黑体" w:hAnsi="Times New Roman" w:eastAsia="黑体"/>
          <w:i w:val="0"/>
          <w:szCs w:val="21"/>
          <w:lang w:val="en-US" w:eastAsia="zh-CN"/>
        </w:rPr>
        <w:t xml:space="preserve">10 </w:t>
      </w:r>
      <w:r>
        <w:rPr>
          <w:rFonts w:hint="eastAsia"/>
          <w:szCs w:val="22"/>
          <w:lang w:val="en-US" w:eastAsia="zh-CN"/>
        </w:rPr>
        <w:t>物项</w:t>
      </w:r>
      <w:r>
        <w:rPr>
          <w:rFonts w:hint="default"/>
          <w:szCs w:val="22"/>
          <w:lang w:val="en-US" w:eastAsia="zh-CN"/>
        </w:rPr>
        <w:t>管理</w:t>
      </w:r>
      <w:r>
        <w:tab/>
      </w:r>
      <w:r>
        <w:fldChar w:fldCharType="begin"/>
      </w:r>
      <w:r>
        <w:instrText xml:space="preserve"> PAGEREF _Toc13639 </w:instrText>
      </w:r>
      <w:r>
        <w:fldChar w:fldCharType="separate"/>
      </w:r>
      <w:r>
        <w:t>21</w:t>
      </w:r>
      <w:r>
        <w:fldChar w:fldCharType="end"/>
      </w:r>
      <w:r>
        <w:rPr>
          <w:rFonts w:hint="default"/>
          <w:lang w:val="en-US"/>
        </w:rPr>
        <w:fldChar w:fldCharType="end"/>
      </w:r>
    </w:p>
    <w:p>
      <w:pPr>
        <w:pStyle w:val="11"/>
        <w:tabs>
          <w:tab w:val="right" w:leader="dot" w:pos="9354"/>
          <w:tab w:val="clear" w:pos="9241"/>
        </w:tabs>
      </w:pPr>
      <w:r>
        <w:rPr>
          <w:rFonts w:hint="default"/>
          <w:lang w:val="en-US"/>
        </w:rPr>
        <w:fldChar w:fldCharType="begin"/>
      </w:r>
      <w:r>
        <w:rPr>
          <w:rFonts w:hint="default"/>
          <w:lang w:val="en-US"/>
        </w:rPr>
        <w:instrText xml:space="preserve"> HYPERLINK \l _Toc3812 </w:instrText>
      </w:r>
      <w:r>
        <w:rPr>
          <w:rFonts w:hint="default"/>
          <w:lang w:val="en-US"/>
        </w:rPr>
        <w:fldChar w:fldCharType="separate"/>
      </w:r>
      <w:r>
        <w:rPr>
          <w:rFonts w:hint="eastAsia" w:ascii="黑体" w:hAnsi="Times New Roman" w:eastAsia="黑体" w:cs="Times New Roman"/>
          <w:bCs w:val="0"/>
          <w:i w:val="0"/>
          <w:iCs w:val="0"/>
          <w:caps w:val="0"/>
          <w:strike w:val="0"/>
          <w:dstrike w:val="0"/>
          <w:outline w:val="0"/>
          <w:shadow w:val="0"/>
          <w:emboss w:val="0"/>
          <w:imprint w:val="0"/>
          <w:vanish w:val="0"/>
          <w:spacing w:val="0"/>
          <w:kern w:val="0"/>
          <w:position w:val="0"/>
          <w:szCs w:val="21"/>
          <w:vertAlign w:val="baseline"/>
          <w:lang w:val="en-US" w:eastAsia="zh-CN"/>
        </w:rPr>
        <w:t xml:space="preserve">10.1 </w:t>
      </w:r>
      <w:r>
        <w:rPr>
          <w:rFonts w:hint="default"/>
          <w:lang w:val="en-US" w:eastAsia="zh-CN"/>
        </w:rPr>
        <w:t>采购</w:t>
      </w:r>
      <w:r>
        <w:tab/>
      </w:r>
      <w:r>
        <w:fldChar w:fldCharType="begin"/>
      </w:r>
      <w:r>
        <w:instrText xml:space="preserve"> PAGEREF _Toc3812 </w:instrText>
      </w:r>
      <w:r>
        <w:fldChar w:fldCharType="separate"/>
      </w:r>
      <w:r>
        <w:t>21</w:t>
      </w:r>
      <w:r>
        <w:fldChar w:fldCharType="end"/>
      </w:r>
      <w:r>
        <w:rPr>
          <w:rFonts w:hint="default"/>
          <w:lang w:val="en-US"/>
        </w:rPr>
        <w:fldChar w:fldCharType="end"/>
      </w:r>
    </w:p>
    <w:p>
      <w:pPr>
        <w:pStyle w:val="11"/>
        <w:tabs>
          <w:tab w:val="right" w:leader="dot" w:pos="9354"/>
          <w:tab w:val="clear" w:pos="9241"/>
        </w:tabs>
      </w:pPr>
      <w:r>
        <w:rPr>
          <w:rFonts w:hint="default"/>
          <w:lang w:val="en-US"/>
        </w:rPr>
        <w:fldChar w:fldCharType="begin"/>
      </w:r>
      <w:r>
        <w:rPr>
          <w:rFonts w:hint="default"/>
          <w:lang w:val="en-US"/>
        </w:rPr>
        <w:instrText xml:space="preserve"> HYPERLINK \l _Toc27920 </w:instrText>
      </w:r>
      <w:r>
        <w:rPr>
          <w:rFonts w:hint="default"/>
          <w:lang w:val="en-US"/>
        </w:rPr>
        <w:fldChar w:fldCharType="separate"/>
      </w:r>
      <w:r>
        <w:rPr>
          <w:rFonts w:hint="eastAsia" w:ascii="黑体" w:hAnsi="Times New Roman" w:eastAsia="黑体" w:cs="Times New Roman"/>
          <w:bCs w:val="0"/>
          <w:i w:val="0"/>
          <w:iCs w:val="0"/>
          <w:caps w:val="0"/>
          <w:strike w:val="0"/>
          <w:dstrike w:val="0"/>
          <w:outline w:val="0"/>
          <w:shadow w:val="0"/>
          <w:emboss w:val="0"/>
          <w:imprint w:val="0"/>
          <w:vanish w:val="0"/>
          <w:spacing w:val="0"/>
          <w:kern w:val="0"/>
          <w:position w:val="0"/>
          <w:szCs w:val="21"/>
          <w:vertAlign w:val="baseline"/>
          <w:lang w:val="en-US" w:eastAsia="zh-CN"/>
        </w:rPr>
        <w:t xml:space="preserve">10.2 </w:t>
      </w:r>
      <w:r>
        <w:rPr>
          <w:rFonts w:hint="default"/>
          <w:lang w:val="en-US" w:eastAsia="zh-CN"/>
        </w:rPr>
        <w:t>进场验收</w:t>
      </w:r>
      <w:r>
        <w:tab/>
      </w:r>
      <w:r>
        <w:fldChar w:fldCharType="begin"/>
      </w:r>
      <w:r>
        <w:instrText xml:space="preserve"> PAGEREF _Toc27920 </w:instrText>
      </w:r>
      <w:r>
        <w:fldChar w:fldCharType="separate"/>
      </w:r>
      <w:r>
        <w:t>21</w:t>
      </w:r>
      <w:r>
        <w:fldChar w:fldCharType="end"/>
      </w:r>
      <w:r>
        <w:rPr>
          <w:rFonts w:hint="default"/>
          <w:lang w:val="en-US"/>
        </w:rPr>
        <w:fldChar w:fldCharType="end"/>
      </w:r>
    </w:p>
    <w:p>
      <w:pPr>
        <w:pStyle w:val="11"/>
        <w:tabs>
          <w:tab w:val="right" w:leader="dot" w:pos="9354"/>
          <w:tab w:val="clear" w:pos="9241"/>
        </w:tabs>
      </w:pPr>
      <w:r>
        <w:rPr>
          <w:rFonts w:hint="default"/>
          <w:lang w:val="en-US"/>
        </w:rPr>
        <w:fldChar w:fldCharType="begin"/>
      </w:r>
      <w:r>
        <w:rPr>
          <w:rFonts w:hint="default"/>
          <w:lang w:val="en-US"/>
        </w:rPr>
        <w:instrText xml:space="preserve"> HYPERLINK \l _Toc24624 </w:instrText>
      </w:r>
      <w:r>
        <w:rPr>
          <w:rFonts w:hint="default"/>
          <w:lang w:val="en-US"/>
        </w:rPr>
        <w:fldChar w:fldCharType="separate"/>
      </w:r>
      <w:r>
        <w:rPr>
          <w:rFonts w:hint="eastAsia" w:ascii="黑体" w:hAnsi="Times New Roman" w:eastAsia="黑体" w:cs="Times New Roman"/>
          <w:bCs w:val="0"/>
          <w:i w:val="0"/>
          <w:iCs w:val="0"/>
          <w:caps w:val="0"/>
          <w:strike w:val="0"/>
          <w:dstrike w:val="0"/>
          <w:outline w:val="0"/>
          <w:shadow w:val="0"/>
          <w:emboss w:val="0"/>
          <w:imprint w:val="0"/>
          <w:vanish w:val="0"/>
          <w:spacing w:val="0"/>
          <w:kern w:val="0"/>
          <w:position w:val="0"/>
          <w:szCs w:val="21"/>
          <w:vertAlign w:val="baseline"/>
          <w:lang w:val="en-US" w:eastAsia="zh-CN"/>
        </w:rPr>
        <w:t xml:space="preserve">10.3 </w:t>
      </w:r>
      <w:r>
        <w:rPr>
          <w:rFonts w:hint="default"/>
          <w:lang w:val="en-US" w:eastAsia="zh-CN"/>
        </w:rPr>
        <w:t>现场管理</w:t>
      </w:r>
      <w:r>
        <w:tab/>
      </w:r>
      <w:r>
        <w:fldChar w:fldCharType="begin"/>
      </w:r>
      <w:r>
        <w:instrText xml:space="preserve"> PAGEREF _Toc24624 </w:instrText>
      </w:r>
      <w:r>
        <w:fldChar w:fldCharType="separate"/>
      </w:r>
      <w:r>
        <w:t>21</w:t>
      </w:r>
      <w:r>
        <w:fldChar w:fldCharType="end"/>
      </w:r>
      <w:r>
        <w:rPr>
          <w:rFonts w:hint="default"/>
          <w:lang w:val="en-US"/>
        </w:rPr>
        <w:fldChar w:fldCharType="end"/>
      </w:r>
    </w:p>
    <w:p>
      <w:pPr>
        <w:pStyle w:val="17"/>
        <w:tabs>
          <w:tab w:val="right" w:leader="dot" w:pos="9354"/>
          <w:tab w:val="clear" w:pos="9242"/>
        </w:tabs>
      </w:pPr>
      <w:r>
        <w:rPr>
          <w:rFonts w:hint="default"/>
          <w:lang w:val="en-US"/>
        </w:rPr>
        <w:fldChar w:fldCharType="begin"/>
      </w:r>
      <w:r>
        <w:rPr>
          <w:rFonts w:hint="default"/>
          <w:lang w:val="en-US"/>
        </w:rPr>
        <w:instrText xml:space="preserve"> HYPERLINK \l _Toc12757 </w:instrText>
      </w:r>
      <w:r>
        <w:rPr>
          <w:rFonts w:hint="default"/>
          <w:lang w:val="en-US"/>
        </w:rPr>
        <w:fldChar w:fldCharType="separate"/>
      </w:r>
      <w:r>
        <w:rPr>
          <w:rFonts w:hint="eastAsia" w:ascii="黑体" w:hAnsi="Times New Roman" w:eastAsia="黑体"/>
          <w:i w:val="0"/>
          <w:szCs w:val="21"/>
          <w:lang w:val="en-US" w:eastAsia="zh-CN"/>
        </w:rPr>
        <w:t xml:space="preserve">11 </w:t>
      </w:r>
      <w:r>
        <w:rPr>
          <w:rFonts w:hint="default"/>
          <w:szCs w:val="22"/>
          <w:lang w:val="en-US" w:eastAsia="zh-CN"/>
        </w:rPr>
        <w:t>工程项目管理</w:t>
      </w:r>
      <w:r>
        <w:tab/>
      </w:r>
      <w:r>
        <w:fldChar w:fldCharType="begin"/>
      </w:r>
      <w:r>
        <w:instrText xml:space="preserve"> PAGEREF _Toc12757 </w:instrText>
      </w:r>
      <w:r>
        <w:fldChar w:fldCharType="separate"/>
      </w:r>
      <w:r>
        <w:t>22</w:t>
      </w:r>
      <w:r>
        <w:fldChar w:fldCharType="end"/>
      </w:r>
      <w:r>
        <w:rPr>
          <w:rFonts w:hint="default"/>
          <w:lang w:val="en-US"/>
        </w:rPr>
        <w:fldChar w:fldCharType="end"/>
      </w:r>
    </w:p>
    <w:p>
      <w:pPr>
        <w:pStyle w:val="11"/>
        <w:tabs>
          <w:tab w:val="right" w:leader="dot" w:pos="9354"/>
          <w:tab w:val="clear" w:pos="9241"/>
        </w:tabs>
      </w:pPr>
      <w:r>
        <w:rPr>
          <w:rFonts w:hint="default"/>
          <w:lang w:val="en-US"/>
        </w:rPr>
        <w:fldChar w:fldCharType="begin"/>
      </w:r>
      <w:r>
        <w:rPr>
          <w:rFonts w:hint="default"/>
          <w:lang w:val="en-US"/>
        </w:rPr>
        <w:instrText xml:space="preserve"> HYPERLINK \l _Toc12 </w:instrText>
      </w:r>
      <w:r>
        <w:rPr>
          <w:rFonts w:hint="default"/>
          <w:lang w:val="en-US"/>
        </w:rPr>
        <w:fldChar w:fldCharType="separate"/>
      </w:r>
      <w:r>
        <w:rPr>
          <w:rFonts w:hint="eastAsia" w:ascii="黑体" w:hAnsi="Times New Roman" w:eastAsia="黑体" w:cs="Times New Roman"/>
          <w:bCs w:val="0"/>
          <w:i w:val="0"/>
          <w:iCs w:val="0"/>
          <w:caps w:val="0"/>
          <w:strike w:val="0"/>
          <w:dstrike w:val="0"/>
          <w:outline w:val="0"/>
          <w:shadow w:val="0"/>
          <w:emboss w:val="0"/>
          <w:imprint w:val="0"/>
          <w:vanish w:val="0"/>
          <w:spacing w:val="0"/>
          <w:kern w:val="0"/>
          <w:position w:val="0"/>
          <w:szCs w:val="21"/>
          <w:vertAlign w:val="baseline"/>
          <w:lang w:val="en-US" w:eastAsia="zh-CN"/>
        </w:rPr>
        <w:t xml:space="preserve">11.1 </w:t>
      </w:r>
      <w:r>
        <w:rPr>
          <w:rFonts w:hint="eastAsia"/>
          <w:lang w:val="en-US" w:eastAsia="zh-CN"/>
        </w:rPr>
        <w:t>投标管理</w:t>
      </w:r>
      <w:r>
        <w:tab/>
      </w:r>
      <w:r>
        <w:fldChar w:fldCharType="begin"/>
      </w:r>
      <w:r>
        <w:instrText xml:space="preserve"> PAGEREF _Toc12 </w:instrText>
      </w:r>
      <w:r>
        <w:fldChar w:fldCharType="separate"/>
      </w:r>
      <w:r>
        <w:t>22</w:t>
      </w:r>
      <w:r>
        <w:fldChar w:fldCharType="end"/>
      </w:r>
      <w:r>
        <w:rPr>
          <w:rFonts w:hint="default"/>
          <w:lang w:val="en-US"/>
        </w:rPr>
        <w:fldChar w:fldCharType="end"/>
      </w:r>
    </w:p>
    <w:p>
      <w:pPr>
        <w:pStyle w:val="11"/>
        <w:tabs>
          <w:tab w:val="right" w:leader="dot" w:pos="9354"/>
          <w:tab w:val="clear" w:pos="9241"/>
        </w:tabs>
      </w:pPr>
      <w:r>
        <w:rPr>
          <w:rFonts w:hint="default"/>
          <w:lang w:val="en-US"/>
        </w:rPr>
        <w:fldChar w:fldCharType="begin"/>
      </w:r>
      <w:r>
        <w:rPr>
          <w:rFonts w:hint="default"/>
          <w:lang w:val="en-US"/>
        </w:rPr>
        <w:instrText xml:space="preserve"> HYPERLINK \l _Toc16228 </w:instrText>
      </w:r>
      <w:r>
        <w:rPr>
          <w:rFonts w:hint="default"/>
          <w:lang w:val="en-US"/>
        </w:rPr>
        <w:fldChar w:fldCharType="separate"/>
      </w:r>
      <w:r>
        <w:rPr>
          <w:rFonts w:hint="eastAsia" w:ascii="黑体" w:hAnsi="Times New Roman" w:eastAsia="黑体" w:cs="Times New Roman"/>
          <w:bCs w:val="0"/>
          <w:i w:val="0"/>
          <w:iCs w:val="0"/>
          <w:caps w:val="0"/>
          <w:strike w:val="0"/>
          <w:dstrike w:val="0"/>
          <w:outline w:val="0"/>
          <w:shadow w:val="0"/>
          <w:emboss w:val="0"/>
          <w:imprint w:val="0"/>
          <w:vanish w:val="0"/>
          <w:spacing w:val="0"/>
          <w:kern w:val="0"/>
          <w:position w:val="0"/>
          <w:szCs w:val="21"/>
          <w:vertAlign w:val="baseline"/>
          <w:lang w:val="en-US" w:eastAsia="zh-CN"/>
        </w:rPr>
        <w:t xml:space="preserve">11.2 </w:t>
      </w:r>
      <w:r>
        <w:rPr>
          <w:rFonts w:hint="eastAsia"/>
          <w:lang w:val="en-US" w:eastAsia="zh-CN"/>
        </w:rPr>
        <w:t>合同管理</w:t>
      </w:r>
      <w:r>
        <w:tab/>
      </w:r>
      <w:r>
        <w:fldChar w:fldCharType="begin"/>
      </w:r>
      <w:r>
        <w:instrText xml:space="preserve"> PAGEREF _Toc16228 </w:instrText>
      </w:r>
      <w:r>
        <w:fldChar w:fldCharType="separate"/>
      </w:r>
      <w:r>
        <w:t>22</w:t>
      </w:r>
      <w:r>
        <w:fldChar w:fldCharType="end"/>
      </w:r>
      <w:r>
        <w:rPr>
          <w:rFonts w:hint="default"/>
          <w:lang w:val="en-US"/>
        </w:rPr>
        <w:fldChar w:fldCharType="end"/>
      </w:r>
    </w:p>
    <w:p>
      <w:pPr>
        <w:pStyle w:val="11"/>
        <w:tabs>
          <w:tab w:val="right" w:leader="dot" w:pos="9354"/>
          <w:tab w:val="clear" w:pos="9241"/>
        </w:tabs>
      </w:pPr>
      <w:r>
        <w:rPr>
          <w:rFonts w:hint="default"/>
          <w:lang w:val="en-US"/>
        </w:rPr>
        <w:fldChar w:fldCharType="begin"/>
      </w:r>
      <w:r>
        <w:rPr>
          <w:rFonts w:hint="default"/>
          <w:lang w:val="en-US"/>
        </w:rPr>
        <w:instrText xml:space="preserve"> HYPERLINK \l _Toc26899 </w:instrText>
      </w:r>
      <w:r>
        <w:rPr>
          <w:rFonts w:hint="default"/>
          <w:lang w:val="en-US"/>
        </w:rPr>
        <w:fldChar w:fldCharType="separate"/>
      </w:r>
      <w:r>
        <w:rPr>
          <w:rFonts w:hint="eastAsia"/>
          <w:lang w:val="en-US" w:eastAsia="zh-CN"/>
        </w:rPr>
        <w:t>11.2.1 合同签订</w:t>
      </w:r>
      <w:r>
        <w:tab/>
      </w:r>
      <w:r>
        <w:fldChar w:fldCharType="begin"/>
      </w:r>
      <w:r>
        <w:instrText xml:space="preserve"> PAGEREF _Toc26899 </w:instrText>
      </w:r>
      <w:r>
        <w:fldChar w:fldCharType="separate"/>
      </w:r>
      <w:r>
        <w:t>22</w:t>
      </w:r>
      <w:r>
        <w:fldChar w:fldCharType="end"/>
      </w:r>
      <w:r>
        <w:rPr>
          <w:rFonts w:hint="default"/>
          <w:lang w:val="en-US"/>
        </w:rPr>
        <w:fldChar w:fldCharType="end"/>
      </w:r>
    </w:p>
    <w:p>
      <w:pPr>
        <w:pStyle w:val="11"/>
        <w:tabs>
          <w:tab w:val="right" w:leader="dot" w:pos="9354"/>
          <w:tab w:val="clear" w:pos="9241"/>
        </w:tabs>
      </w:pPr>
      <w:r>
        <w:rPr>
          <w:rFonts w:hint="default"/>
          <w:lang w:val="en-US"/>
        </w:rPr>
        <w:fldChar w:fldCharType="begin"/>
      </w:r>
      <w:r>
        <w:rPr>
          <w:rFonts w:hint="default"/>
          <w:lang w:val="en-US"/>
        </w:rPr>
        <w:instrText xml:space="preserve"> HYPERLINK \l _Toc17362 </w:instrText>
      </w:r>
      <w:r>
        <w:rPr>
          <w:rFonts w:hint="default"/>
          <w:lang w:val="en-US"/>
        </w:rPr>
        <w:fldChar w:fldCharType="separate"/>
      </w:r>
      <w:r>
        <w:rPr>
          <w:rFonts w:hint="eastAsia"/>
          <w:lang w:val="en-US" w:eastAsia="zh-CN"/>
        </w:rPr>
        <w:t>11.2.2 合同变更</w:t>
      </w:r>
      <w:r>
        <w:tab/>
      </w:r>
      <w:r>
        <w:fldChar w:fldCharType="begin"/>
      </w:r>
      <w:r>
        <w:instrText xml:space="preserve"> PAGEREF _Toc17362 </w:instrText>
      </w:r>
      <w:r>
        <w:fldChar w:fldCharType="separate"/>
      </w:r>
      <w:r>
        <w:t>22</w:t>
      </w:r>
      <w:r>
        <w:fldChar w:fldCharType="end"/>
      </w:r>
      <w:r>
        <w:rPr>
          <w:rFonts w:hint="default"/>
          <w:lang w:val="en-US"/>
        </w:rPr>
        <w:fldChar w:fldCharType="end"/>
      </w:r>
    </w:p>
    <w:p>
      <w:pPr>
        <w:pStyle w:val="11"/>
        <w:tabs>
          <w:tab w:val="right" w:leader="dot" w:pos="9354"/>
          <w:tab w:val="clear" w:pos="9241"/>
        </w:tabs>
      </w:pPr>
      <w:r>
        <w:rPr>
          <w:rFonts w:hint="default"/>
          <w:lang w:val="en-US"/>
        </w:rPr>
        <w:fldChar w:fldCharType="begin"/>
      </w:r>
      <w:r>
        <w:rPr>
          <w:rFonts w:hint="default"/>
          <w:lang w:val="en-US"/>
        </w:rPr>
        <w:instrText xml:space="preserve"> HYPERLINK \l _Toc16226 </w:instrText>
      </w:r>
      <w:r>
        <w:rPr>
          <w:rFonts w:hint="default"/>
          <w:lang w:val="en-US"/>
        </w:rPr>
        <w:fldChar w:fldCharType="separate"/>
      </w:r>
      <w:r>
        <w:rPr>
          <w:rFonts w:hint="eastAsia" w:ascii="黑体" w:hAnsi="Times New Roman" w:eastAsia="黑体" w:cs="Times New Roman"/>
          <w:bCs w:val="0"/>
          <w:i w:val="0"/>
          <w:iCs w:val="0"/>
          <w:caps w:val="0"/>
          <w:strike w:val="0"/>
          <w:dstrike w:val="0"/>
          <w:outline w:val="0"/>
          <w:shadow w:val="0"/>
          <w:emboss w:val="0"/>
          <w:imprint w:val="0"/>
          <w:vanish w:val="0"/>
          <w:spacing w:val="0"/>
          <w:kern w:val="0"/>
          <w:position w:val="0"/>
          <w:szCs w:val="21"/>
          <w:vertAlign w:val="baseline"/>
          <w:lang w:val="en-US" w:eastAsia="zh-CN"/>
        </w:rPr>
        <w:t xml:space="preserve">11.3 </w:t>
      </w:r>
      <w:r>
        <w:rPr>
          <w:rFonts w:hint="eastAsia"/>
          <w:lang w:val="en-US" w:eastAsia="zh-CN"/>
        </w:rPr>
        <w:t>项目</w:t>
      </w:r>
      <w:r>
        <w:rPr>
          <w:rFonts w:hint="default"/>
          <w:lang w:val="en-US" w:eastAsia="zh-CN"/>
        </w:rPr>
        <w:t>策划</w:t>
      </w:r>
      <w:r>
        <w:tab/>
      </w:r>
      <w:r>
        <w:fldChar w:fldCharType="begin"/>
      </w:r>
      <w:r>
        <w:instrText xml:space="preserve"> PAGEREF _Toc16226 </w:instrText>
      </w:r>
      <w:r>
        <w:fldChar w:fldCharType="separate"/>
      </w:r>
      <w:r>
        <w:t>23</w:t>
      </w:r>
      <w:r>
        <w:fldChar w:fldCharType="end"/>
      </w:r>
      <w:r>
        <w:rPr>
          <w:rFonts w:hint="default"/>
          <w:lang w:val="en-US"/>
        </w:rPr>
        <w:fldChar w:fldCharType="end"/>
      </w:r>
    </w:p>
    <w:p>
      <w:pPr>
        <w:pStyle w:val="11"/>
        <w:tabs>
          <w:tab w:val="right" w:leader="dot" w:pos="9354"/>
          <w:tab w:val="clear" w:pos="9241"/>
        </w:tabs>
      </w:pPr>
      <w:r>
        <w:rPr>
          <w:rFonts w:hint="default"/>
          <w:lang w:val="en-US"/>
        </w:rPr>
        <w:fldChar w:fldCharType="begin"/>
      </w:r>
      <w:r>
        <w:rPr>
          <w:rFonts w:hint="default"/>
          <w:lang w:val="en-US"/>
        </w:rPr>
        <w:instrText xml:space="preserve"> HYPERLINK \l _Toc12213 </w:instrText>
      </w:r>
      <w:r>
        <w:rPr>
          <w:rFonts w:hint="default"/>
          <w:lang w:val="en-US"/>
        </w:rPr>
        <w:fldChar w:fldCharType="separate"/>
      </w:r>
      <w:r>
        <w:rPr>
          <w:rFonts w:hint="eastAsia" w:ascii="黑体" w:hAnsi="Times New Roman" w:eastAsia="黑体" w:cs="Times New Roman"/>
          <w:bCs w:val="0"/>
          <w:i w:val="0"/>
          <w:iCs w:val="0"/>
          <w:caps w:val="0"/>
          <w:strike w:val="0"/>
          <w:dstrike w:val="0"/>
          <w:outline w:val="0"/>
          <w:shadow w:val="0"/>
          <w:emboss w:val="0"/>
          <w:imprint w:val="0"/>
          <w:vanish w:val="0"/>
          <w:spacing w:val="0"/>
          <w:kern w:val="0"/>
          <w:position w:val="0"/>
          <w:szCs w:val="21"/>
          <w:vertAlign w:val="baseline"/>
          <w:lang w:val="en-US" w:eastAsia="zh-CN"/>
        </w:rPr>
        <w:t xml:space="preserve">11.4 </w:t>
      </w:r>
      <w:r>
        <w:rPr>
          <w:rFonts w:hint="default"/>
          <w:lang w:val="en-US" w:eastAsia="zh-CN"/>
        </w:rPr>
        <w:t>工程设计</w:t>
      </w:r>
      <w:r>
        <w:tab/>
      </w:r>
      <w:r>
        <w:fldChar w:fldCharType="begin"/>
      </w:r>
      <w:r>
        <w:instrText xml:space="preserve"> PAGEREF _Toc12213 </w:instrText>
      </w:r>
      <w:r>
        <w:fldChar w:fldCharType="separate"/>
      </w:r>
      <w:r>
        <w:t>23</w:t>
      </w:r>
      <w:r>
        <w:fldChar w:fldCharType="end"/>
      </w:r>
      <w:r>
        <w:rPr>
          <w:rFonts w:hint="default"/>
          <w:lang w:val="en-US"/>
        </w:rPr>
        <w:fldChar w:fldCharType="end"/>
      </w:r>
    </w:p>
    <w:p>
      <w:pPr>
        <w:pStyle w:val="11"/>
        <w:tabs>
          <w:tab w:val="right" w:leader="dot" w:pos="9354"/>
          <w:tab w:val="clear" w:pos="9241"/>
        </w:tabs>
      </w:pPr>
      <w:r>
        <w:rPr>
          <w:rFonts w:hint="default"/>
          <w:lang w:val="en-US"/>
        </w:rPr>
        <w:fldChar w:fldCharType="begin"/>
      </w:r>
      <w:r>
        <w:rPr>
          <w:rFonts w:hint="default"/>
          <w:lang w:val="en-US"/>
        </w:rPr>
        <w:instrText xml:space="preserve"> HYPERLINK \l _Toc25186 </w:instrText>
      </w:r>
      <w:r>
        <w:rPr>
          <w:rFonts w:hint="default"/>
          <w:lang w:val="en-US"/>
        </w:rPr>
        <w:fldChar w:fldCharType="separate"/>
      </w:r>
      <w:r>
        <w:rPr>
          <w:rFonts w:hint="eastAsia" w:ascii="黑体" w:hAnsi="Times New Roman" w:eastAsia="黑体" w:cs="Times New Roman"/>
          <w:bCs w:val="0"/>
          <w:i w:val="0"/>
          <w:iCs w:val="0"/>
          <w:caps w:val="0"/>
          <w:strike w:val="0"/>
          <w:dstrike w:val="0"/>
          <w:outline w:val="0"/>
          <w:shadow w:val="0"/>
          <w:emboss w:val="0"/>
          <w:imprint w:val="0"/>
          <w:vanish w:val="0"/>
          <w:spacing w:val="0"/>
          <w:kern w:val="0"/>
          <w:position w:val="0"/>
          <w:szCs w:val="21"/>
          <w:vertAlign w:val="baseline"/>
          <w:lang w:val="en-US" w:eastAsia="zh-CN"/>
        </w:rPr>
        <w:t xml:space="preserve">11.5 </w:t>
      </w:r>
      <w:r>
        <w:rPr>
          <w:rFonts w:hint="default"/>
          <w:lang w:val="en-US" w:eastAsia="zh-CN"/>
        </w:rPr>
        <w:t>施工准备</w:t>
      </w:r>
      <w:r>
        <w:tab/>
      </w:r>
      <w:r>
        <w:fldChar w:fldCharType="begin"/>
      </w:r>
      <w:r>
        <w:instrText xml:space="preserve"> PAGEREF _Toc25186 </w:instrText>
      </w:r>
      <w:r>
        <w:fldChar w:fldCharType="separate"/>
      </w:r>
      <w:r>
        <w:t>23</w:t>
      </w:r>
      <w:r>
        <w:fldChar w:fldCharType="end"/>
      </w:r>
      <w:r>
        <w:rPr>
          <w:rFonts w:hint="default"/>
          <w:lang w:val="en-US"/>
        </w:rPr>
        <w:fldChar w:fldCharType="end"/>
      </w:r>
    </w:p>
    <w:p>
      <w:pPr>
        <w:pStyle w:val="11"/>
        <w:tabs>
          <w:tab w:val="right" w:leader="dot" w:pos="9354"/>
          <w:tab w:val="clear" w:pos="9241"/>
        </w:tabs>
      </w:pPr>
      <w:r>
        <w:rPr>
          <w:rFonts w:hint="default"/>
          <w:lang w:val="en-US"/>
        </w:rPr>
        <w:fldChar w:fldCharType="begin"/>
      </w:r>
      <w:r>
        <w:rPr>
          <w:rFonts w:hint="default"/>
          <w:lang w:val="en-US"/>
        </w:rPr>
        <w:instrText xml:space="preserve"> HYPERLINK \l _Toc31066 </w:instrText>
      </w:r>
      <w:r>
        <w:rPr>
          <w:rFonts w:hint="default"/>
          <w:lang w:val="en-US"/>
        </w:rPr>
        <w:fldChar w:fldCharType="separate"/>
      </w:r>
      <w:r>
        <w:rPr>
          <w:rFonts w:hint="eastAsia" w:ascii="黑体" w:hAnsi="Times New Roman" w:eastAsia="黑体" w:cs="Times New Roman"/>
          <w:bCs w:val="0"/>
          <w:i w:val="0"/>
          <w:iCs w:val="0"/>
          <w:caps w:val="0"/>
          <w:strike w:val="0"/>
          <w:dstrike w:val="0"/>
          <w:outline w:val="0"/>
          <w:shadow w:val="0"/>
          <w:emboss w:val="0"/>
          <w:imprint w:val="0"/>
          <w:vanish w:val="0"/>
          <w:spacing w:val="0"/>
          <w:kern w:val="0"/>
          <w:position w:val="0"/>
          <w:szCs w:val="21"/>
          <w:vertAlign w:val="baseline"/>
          <w:lang w:val="en-US" w:eastAsia="zh-CN"/>
        </w:rPr>
        <w:t xml:space="preserve">11.6 </w:t>
      </w:r>
      <w:r>
        <w:rPr>
          <w:rFonts w:hint="eastAsia"/>
          <w:lang w:val="en-US" w:eastAsia="zh-CN"/>
        </w:rPr>
        <w:t>质量管理</w:t>
      </w:r>
      <w:r>
        <w:tab/>
      </w:r>
      <w:r>
        <w:fldChar w:fldCharType="begin"/>
      </w:r>
      <w:r>
        <w:instrText xml:space="preserve"> PAGEREF _Toc31066 </w:instrText>
      </w:r>
      <w:r>
        <w:fldChar w:fldCharType="separate"/>
      </w:r>
      <w:r>
        <w:t>24</w:t>
      </w:r>
      <w:r>
        <w:fldChar w:fldCharType="end"/>
      </w:r>
      <w:r>
        <w:rPr>
          <w:rFonts w:hint="default"/>
          <w:lang w:val="en-US"/>
        </w:rPr>
        <w:fldChar w:fldCharType="end"/>
      </w:r>
    </w:p>
    <w:p>
      <w:pPr>
        <w:pStyle w:val="11"/>
        <w:tabs>
          <w:tab w:val="right" w:leader="dot" w:pos="9354"/>
          <w:tab w:val="clear" w:pos="9241"/>
        </w:tabs>
      </w:pPr>
      <w:r>
        <w:rPr>
          <w:rFonts w:hint="default"/>
          <w:lang w:val="en-US"/>
        </w:rPr>
        <w:fldChar w:fldCharType="begin"/>
      </w:r>
      <w:r>
        <w:rPr>
          <w:rFonts w:hint="default"/>
          <w:lang w:val="en-US"/>
        </w:rPr>
        <w:instrText xml:space="preserve"> HYPERLINK \l _Toc29330 </w:instrText>
      </w:r>
      <w:r>
        <w:rPr>
          <w:rFonts w:hint="default"/>
          <w:lang w:val="en-US"/>
        </w:rPr>
        <w:fldChar w:fldCharType="separate"/>
      </w:r>
      <w:r>
        <w:rPr>
          <w:rFonts w:hint="eastAsia"/>
          <w:lang w:val="en-US" w:eastAsia="zh-CN"/>
        </w:rPr>
        <w:t>11.6.1质量保证</w:t>
      </w:r>
      <w:r>
        <w:tab/>
      </w:r>
      <w:r>
        <w:fldChar w:fldCharType="begin"/>
      </w:r>
      <w:r>
        <w:instrText xml:space="preserve"> PAGEREF _Toc29330 </w:instrText>
      </w:r>
      <w:r>
        <w:fldChar w:fldCharType="separate"/>
      </w:r>
      <w:r>
        <w:t>24</w:t>
      </w:r>
      <w:r>
        <w:fldChar w:fldCharType="end"/>
      </w:r>
      <w:r>
        <w:rPr>
          <w:rFonts w:hint="default"/>
          <w:lang w:val="en-US"/>
        </w:rPr>
        <w:fldChar w:fldCharType="end"/>
      </w:r>
    </w:p>
    <w:p>
      <w:pPr>
        <w:pStyle w:val="11"/>
        <w:tabs>
          <w:tab w:val="right" w:leader="dot" w:pos="9354"/>
          <w:tab w:val="clear" w:pos="9241"/>
        </w:tabs>
      </w:pPr>
      <w:r>
        <w:rPr>
          <w:rFonts w:hint="default"/>
          <w:lang w:val="en-US"/>
        </w:rPr>
        <w:fldChar w:fldCharType="begin"/>
      </w:r>
      <w:r>
        <w:rPr>
          <w:rFonts w:hint="default"/>
          <w:lang w:val="en-US"/>
        </w:rPr>
        <w:instrText xml:space="preserve"> HYPERLINK \l _Toc32259 </w:instrText>
      </w:r>
      <w:r>
        <w:rPr>
          <w:rFonts w:hint="default"/>
          <w:lang w:val="en-US"/>
        </w:rPr>
        <w:fldChar w:fldCharType="separate"/>
      </w:r>
      <w:r>
        <w:rPr>
          <w:rFonts w:hint="eastAsia"/>
          <w:lang w:val="en-US" w:eastAsia="zh-CN"/>
        </w:rPr>
        <w:t>11.6.2过程确认</w:t>
      </w:r>
      <w:r>
        <w:tab/>
      </w:r>
      <w:r>
        <w:fldChar w:fldCharType="begin"/>
      </w:r>
      <w:r>
        <w:instrText xml:space="preserve"> PAGEREF _Toc32259 </w:instrText>
      </w:r>
      <w:r>
        <w:fldChar w:fldCharType="separate"/>
      </w:r>
      <w:r>
        <w:t>24</w:t>
      </w:r>
      <w:r>
        <w:fldChar w:fldCharType="end"/>
      </w:r>
      <w:r>
        <w:rPr>
          <w:rFonts w:hint="default"/>
          <w:lang w:val="en-US"/>
        </w:rPr>
        <w:fldChar w:fldCharType="end"/>
      </w:r>
    </w:p>
    <w:p>
      <w:pPr>
        <w:pStyle w:val="11"/>
        <w:tabs>
          <w:tab w:val="right" w:leader="dot" w:pos="9354"/>
          <w:tab w:val="clear" w:pos="9241"/>
        </w:tabs>
      </w:pPr>
      <w:r>
        <w:rPr>
          <w:rFonts w:hint="default"/>
          <w:lang w:val="en-US"/>
        </w:rPr>
        <w:fldChar w:fldCharType="begin"/>
      </w:r>
      <w:r>
        <w:rPr>
          <w:rFonts w:hint="default"/>
          <w:lang w:val="en-US"/>
        </w:rPr>
        <w:instrText xml:space="preserve"> HYPERLINK \l _Toc3599 </w:instrText>
      </w:r>
      <w:r>
        <w:rPr>
          <w:rFonts w:hint="default"/>
          <w:lang w:val="en-US"/>
        </w:rPr>
        <w:fldChar w:fldCharType="separate"/>
      </w:r>
      <w:r>
        <w:rPr>
          <w:rFonts w:hint="eastAsia" w:ascii="黑体" w:hAnsi="Times New Roman" w:eastAsia="黑体" w:cs="Times New Roman"/>
          <w:bCs w:val="0"/>
          <w:i w:val="0"/>
          <w:iCs w:val="0"/>
          <w:caps w:val="0"/>
          <w:strike w:val="0"/>
          <w:dstrike w:val="0"/>
          <w:outline w:val="0"/>
          <w:shadow w:val="0"/>
          <w:emboss w:val="0"/>
          <w:imprint w:val="0"/>
          <w:vanish w:val="0"/>
          <w:spacing w:val="0"/>
          <w:kern w:val="0"/>
          <w:position w:val="0"/>
          <w:szCs w:val="21"/>
          <w:vertAlign w:val="baseline"/>
          <w:lang w:val="en-US" w:eastAsia="zh-CN"/>
        </w:rPr>
        <w:t xml:space="preserve">11.7 </w:t>
      </w:r>
      <w:r>
        <w:rPr>
          <w:rFonts w:hint="eastAsia"/>
          <w:lang w:val="en-US" w:eastAsia="zh-CN"/>
        </w:rPr>
        <w:t>进度管理</w:t>
      </w:r>
      <w:r>
        <w:tab/>
      </w:r>
      <w:r>
        <w:fldChar w:fldCharType="begin"/>
      </w:r>
      <w:r>
        <w:instrText xml:space="preserve"> PAGEREF _Toc3599 </w:instrText>
      </w:r>
      <w:r>
        <w:fldChar w:fldCharType="separate"/>
      </w:r>
      <w:r>
        <w:t>24</w:t>
      </w:r>
      <w:r>
        <w:fldChar w:fldCharType="end"/>
      </w:r>
      <w:r>
        <w:rPr>
          <w:rFonts w:hint="default"/>
          <w:lang w:val="en-US"/>
        </w:rPr>
        <w:fldChar w:fldCharType="end"/>
      </w:r>
    </w:p>
    <w:p>
      <w:pPr>
        <w:pStyle w:val="11"/>
        <w:tabs>
          <w:tab w:val="right" w:leader="dot" w:pos="9354"/>
          <w:tab w:val="clear" w:pos="9241"/>
        </w:tabs>
      </w:pPr>
      <w:r>
        <w:rPr>
          <w:rFonts w:hint="default"/>
          <w:lang w:val="en-US"/>
        </w:rPr>
        <w:fldChar w:fldCharType="begin"/>
      </w:r>
      <w:r>
        <w:rPr>
          <w:rFonts w:hint="default"/>
          <w:lang w:val="en-US"/>
        </w:rPr>
        <w:instrText xml:space="preserve"> HYPERLINK \l _Toc2049 </w:instrText>
      </w:r>
      <w:r>
        <w:rPr>
          <w:rFonts w:hint="default"/>
          <w:lang w:val="en-US"/>
        </w:rPr>
        <w:fldChar w:fldCharType="separate"/>
      </w:r>
      <w:r>
        <w:rPr>
          <w:rFonts w:hint="eastAsia"/>
          <w:lang w:val="en-US" w:eastAsia="zh-CN"/>
        </w:rPr>
        <w:t>11.7.1进度目标</w:t>
      </w:r>
      <w:r>
        <w:tab/>
      </w:r>
      <w:r>
        <w:fldChar w:fldCharType="begin"/>
      </w:r>
      <w:r>
        <w:instrText xml:space="preserve"> PAGEREF _Toc2049 </w:instrText>
      </w:r>
      <w:r>
        <w:fldChar w:fldCharType="separate"/>
      </w:r>
      <w:r>
        <w:t>24</w:t>
      </w:r>
      <w:r>
        <w:fldChar w:fldCharType="end"/>
      </w:r>
      <w:r>
        <w:rPr>
          <w:rFonts w:hint="default"/>
          <w:lang w:val="en-US"/>
        </w:rPr>
        <w:fldChar w:fldCharType="end"/>
      </w:r>
    </w:p>
    <w:p>
      <w:pPr>
        <w:pStyle w:val="11"/>
        <w:tabs>
          <w:tab w:val="right" w:leader="dot" w:pos="9354"/>
          <w:tab w:val="clear" w:pos="9241"/>
        </w:tabs>
      </w:pPr>
      <w:r>
        <w:rPr>
          <w:rFonts w:hint="default"/>
          <w:lang w:val="en-US"/>
        </w:rPr>
        <w:fldChar w:fldCharType="begin"/>
      </w:r>
      <w:r>
        <w:rPr>
          <w:rFonts w:hint="default"/>
          <w:lang w:val="en-US"/>
        </w:rPr>
        <w:instrText xml:space="preserve"> HYPERLINK \l _Toc6237 </w:instrText>
      </w:r>
      <w:r>
        <w:rPr>
          <w:rFonts w:hint="default"/>
          <w:lang w:val="en-US"/>
        </w:rPr>
        <w:fldChar w:fldCharType="separate"/>
      </w:r>
      <w:r>
        <w:rPr>
          <w:rFonts w:hint="eastAsia"/>
          <w:lang w:val="en-US" w:eastAsia="zh-CN"/>
        </w:rPr>
        <w:t>11.7.2进度风险</w:t>
      </w:r>
      <w:r>
        <w:tab/>
      </w:r>
      <w:r>
        <w:fldChar w:fldCharType="begin"/>
      </w:r>
      <w:r>
        <w:instrText xml:space="preserve"> PAGEREF _Toc6237 </w:instrText>
      </w:r>
      <w:r>
        <w:fldChar w:fldCharType="separate"/>
      </w:r>
      <w:r>
        <w:t>24</w:t>
      </w:r>
      <w:r>
        <w:fldChar w:fldCharType="end"/>
      </w:r>
      <w:r>
        <w:rPr>
          <w:rFonts w:hint="default"/>
          <w:lang w:val="en-US"/>
        </w:rPr>
        <w:fldChar w:fldCharType="end"/>
      </w:r>
    </w:p>
    <w:p>
      <w:pPr>
        <w:pStyle w:val="11"/>
        <w:tabs>
          <w:tab w:val="right" w:leader="dot" w:pos="9354"/>
          <w:tab w:val="clear" w:pos="9241"/>
        </w:tabs>
      </w:pPr>
      <w:r>
        <w:rPr>
          <w:rFonts w:hint="default"/>
          <w:lang w:val="en-US"/>
        </w:rPr>
        <w:fldChar w:fldCharType="begin"/>
      </w:r>
      <w:r>
        <w:rPr>
          <w:rFonts w:hint="default"/>
          <w:lang w:val="en-US"/>
        </w:rPr>
        <w:instrText xml:space="preserve"> HYPERLINK \l _Toc14176 </w:instrText>
      </w:r>
      <w:r>
        <w:rPr>
          <w:rFonts w:hint="default"/>
          <w:lang w:val="en-US"/>
        </w:rPr>
        <w:fldChar w:fldCharType="separate"/>
      </w:r>
      <w:r>
        <w:rPr>
          <w:rFonts w:hint="eastAsia"/>
          <w:lang w:val="en-US" w:eastAsia="zh-CN"/>
        </w:rPr>
        <w:t>11.7.3进度计划</w:t>
      </w:r>
      <w:r>
        <w:tab/>
      </w:r>
      <w:r>
        <w:fldChar w:fldCharType="begin"/>
      </w:r>
      <w:r>
        <w:instrText xml:space="preserve"> PAGEREF _Toc14176 </w:instrText>
      </w:r>
      <w:r>
        <w:fldChar w:fldCharType="separate"/>
      </w:r>
      <w:r>
        <w:t>25</w:t>
      </w:r>
      <w:r>
        <w:fldChar w:fldCharType="end"/>
      </w:r>
      <w:r>
        <w:rPr>
          <w:rFonts w:hint="default"/>
          <w:lang w:val="en-US"/>
        </w:rPr>
        <w:fldChar w:fldCharType="end"/>
      </w:r>
    </w:p>
    <w:p>
      <w:pPr>
        <w:pStyle w:val="11"/>
        <w:tabs>
          <w:tab w:val="right" w:leader="dot" w:pos="9354"/>
          <w:tab w:val="clear" w:pos="9241"/>
        </w:tabs>
      </w:pPr>
      <w:r>
        <w:rPr>
          <w:rFonts w:hint="default"/>
          <w:lang w:val="en-US"/>
        </w:rPr>
        <w:fldChar w:fldCharType="begin"/>
      </w:r>
      <w:r>
        <w:rPr>
          <w:rFonts w:hint="default"/>
          <w:lang w:val="en-US"/>
        </w:rPr>
        <w:instrText xml:space="preserve"> HYPERLINK \l _Toc18947 </w:instrText>
      </w:r>
      <w:r>
        <w:rPr>
          <w:rFonts w:hint="default"/>
          <w:lang w:val="en-US"/>
        </w:rPr>
        <w:fldChar w:fldCharType="separate"/>
      </w:r>
      <w:r>
        <w:rPr>
          <w:rFonts w:hint="eastAsia"/>
          <w:lang w:val="en-US" w:eastAsia="zh-CN"/>
        </w:rPr>
        <w:t>11.7.4进度控制</w:t>
      </w:r>
      <w:r>
        <w:tab/>
      </w:r>
      <w:r>
        <w:fldChar w:fldCharType="begin"/>
      </w:r>
      <w:r>
        <w:instrText xml:space="preserve"> PAGEREF _Toc18947 </w:instrText>
      </w:r>
      <w:r>
        <w:fldChar w:fldCharType="separate"/>
      </w:r>
      <w:r>
        <w:t>25</w:t>
      </w:r>
      <w:r>
        <w:fldChar w:fldCharType="end"/>
      </w:r>
      <w:r>
        <w:rPr>
          <w:rFonts w:hint="default"/>
          <w:lang w:val="en-US"/>
        </w:rPr>
        <w:fldChar w:fldCharType="end"/>
      </w:r>
    </w:p>
    <w:p>
      <w:pPr>
        <w:pStyle w:val="11"/>
        <w:tabs>
          <w:tab w:val="right" w:leader="dot" w:pos="9354"/>
          <w:tab w:val="clear" w:pos="9241"/>
        </w:tabs>
      </w:pPr>
      <w:r>
        <w:rPr>
          <w:rFonts w:hint="default"/>
          <w:lang w:val="en-US"/>
        </w:rPr>
        <w:fldChar w:fldCharType="begin"/>
      </w:r>
      <w:r>
        <w:rPr>
          <w:rFonts w:hint="default"/>
          <w:lang w:val="en-US"/>
        </w:rPr>
        <w:instrText xml:space="preserve"> HYPERLINK \l _Toc25419 </w:instrText>
      </w:r>
      <w:r>
        <w:rPr>
          <w:rFonts w:hint="default"/>
          <w:lang w:val="en-US"/>
        </w:rPr>
        <w:fldChar w:fldCharType="separate"/>
      </w:r>
      <w:r>
        <w:rPr>
          <w:rFonts w:hint="eastAsia" w:ascii="黑体" w:hAnsi="Times New Roman" w:eastAsia="黑体" w:cs="Times New Roman"/>
          <w:bCs w:val="0"/>
          <w:i w:val="0"/>
          <w:iCs w:val="0"/>
          <w:caps w:val="0"/>
          <w:strike w:val="0"/>
          <w:dstrike w:val="0"/>
          <w:outline w:val="0"/>
          <w:shadow w:val="0"/>
          <w:emboss w:val="0"/>
          <w:imprint w:val="0"/>
          <w:vanish w:val="0"/>
          <w:spacing w:val="0"/>
          <w:kern w:val="0"/>
          <w:position w:val="0"/>
          <w:szCs w:val="21"/>
          <w:vertAlign w:val="baseline"/>
          <w:lang w:val="en-US" w:eastAsia="zh-CN"/>
        </w:rPr>
        <w:t xml:space="preserve">11.8 </w:t>
      </w:r>
      <w:r>
        <w:rPr>
          <w:rFonts w:hint="eastAsia"/>
          <w:lang w:val="en-US" w:eastAsia="zh-CN"/>
        </w:rPr>
        <w:t>安全管理</w:t>
      </w:r>
      <w:r>
        <w:tab/>
      </w:r>
      <w:r>
        <w:fldChar w:fldCharType="begin"/>
      </w:r>
      <w:r>
        <w:instrText xml:space="preserve"> PAGEREF _Toc25419 </w:instrText>
      </w:r>
      <w:r>
        <w:fldChar w:fldCharType="separate"/>
      </w:r>
      <w:r>
        <w:t>25</w:t>
      </w:r>
      <w:r>
        <w:fldChar w:fldCharType="end"/>
      </w:r>
      <w:r>
        <w:rPr>
          <w:rFonts w:hint="default"/>
          <w:lang w:val="en-US"/>
        </w:rPr>
        <w:fldChar w:fldCharType="end"/>
      </w:r>
    </w:p>
    <w:p>
      <w:pPr>
        <w:pStyle w:val="11"/>
        <w:tabs>
          <w:tab w:val="right" w:leader="dot" w:pos="9354"/>
          <w:tab w:val="clear" w:pos="9241"/>
        </w:tabs>
      </w:pPr>
      <w:r>
        <w:rPr>
          <w:rFonts w:hint="default"/>
          <w:lang w:val="en-US"/>
        </w:rPr>
        <w:fldChar w:fldCharType="begin"/>
      </w:r>
      <w:r>
        <w:rPr>
          <w:rFonts w:hint="default"/>
          <w:lang w:val="en-US"/>
        </w:rPr>
        <w:instrText xml:space="preserve"> HYPERLINK \l _Toc847 </w:instrText>
      </w:r>
      <w:r>
        <w:rPr>
          <w:rFonts w:hint="default"/>
          <w:lang w:val="en-US"/>
        </w:rPr>
        <w:fldChar w:fldCharType="separate"/>
      </w:r>
      <w:r>
        <w:rPr>
          <w:rFonts w:hint="eastAsia"/>
          <w:highlight w:val="none"/>
          <w:lang w:val="en-US" w:eastAsia="zh-CN"/>
        </w:rPr>
        <w:t>11.8.1基础管理</w:t>
      </w:r>
      <w:r>
        <w:tab/>
      </w:r>
      <w:r>
        <w:fldChar w:fldCharType="begin"/>
      </w:r>
      <w:r>
        <w:instrText xml:space="preserve"> PAGEREF _Toc847 </w:instrText>
      </w:r>
      <w:r>
        <w:fldChar w:fldCharType="separate"/>
      </w:r>
      <w:r>
        <w:t>25</w:t>
      </w:r>
      <w:r>
        <w:fldChar w:fldCharType="end"/>
      </w:r>
      <w:r>
        <w:rPr>
          <w:rFonts w:hint="default"/>
          <w:lang w:val="en-US"/>
        </w:rPr>
        <w:fldChar w:fldCharType="end"/>
      </w:r>
    </w:p>
    <w:p>
      <w:pPr>
        <w:pStyle w:val="11"/>
        <w:tabs>
          <w:tab w:val="right" w:leader="dot" w:pos="9354"/>
          <w:tab w:val="clear" w:pos="9241"/>
        </w:tabs>
      </w:pPr>
      <w:r>
        <w:rPr>
          <w:rFonts w:hint="default"/>
          <w:lang w:val="en-US"/>
        </w:rPr>
        <w:fldChar w:fldCharType="begin"/>
      </w:r>
      <w:r>
        <w:rPr>
          <w:rFonts w:hint="default"/>
          <w:lang w:val="en-US"/>
        </w:rPr>
        <w:instrText xml:space="preserve"> HYPERLINK \l _Toc348 </w:instrText>
      </w:r>
      <w:r>
        <w:rPr>
          <w:rFonts w:hint="default"/>
          <w:lang w:val="en-US"/>
        </w:rPr>
        <w:fldChar w:fldCharType="separate"/>
      </w:r>
      <w:r>
        <w:rPr>
          <w:rFonts w:hint="eastAsia"/>
          <w:highlight w:val="none"/>
          <w:lang w:val="en-US" w:eastAsia="zh-CN"/>
        </w:rPr>
        <w:t>11.8.2过程保障</w:t>
      </w:r>
      <w:r>
        <w:tab/>
      </w:r>
      <w:r>
        <w:fldChar w:fldCharType="begin"/>
      </w:r>
      <w:r>
        <w:instrText xml:space="preserve"> PAGEREF _Toc348 </w:instrText>
      </w:r>
      <w:r>
        <w:fldChar w:fldCharType="separate"/>
      </w:r>
      <w:r>
        <w:t>26</w:t>
      </w:r>
      <w:r>
        <w:fldChar w:fldCharType="end"/>
      </w:r>
      <w:r>
        <w:rPr>
          <w:rFonts w:hint="default"/>
          <w:lang w:val="en-US"/>
        </w:rPr>
        <w:fldChar w:fldCharType="end"/>
      </w:r>
    </w:p>
    <w:p>
      <w:pPr>
        <w:pStyle w:val="11"/>
        <w:tabs>
          <w:tab w:val="right" w:leader="dot" w:pos="9354"/>
          <w:tab w:val="clear" w:pos="9241"/>
        </w:tabs>
      </w:pPr>
      <w:r>
        <w:rPr>
          <w:rFonts w:hint="default"/>
          <w:lang w:val="en-US"/>
        </w:rPr>
        <w:fldChar w:fldCharType="begin"/>
      </w:r>
      <w:r>
        <w:rPr>
          <w:rFonts w:hint="default"/>
          <w:lang w:val="en-US"/>
        </w:rPr>
        <w:instrText xml:space="preserve"> HYPERLINK \l _Toc18392 </w:instrText>
      </w:r>
      <w:r>
        <w:rPr>
          <w:rFonts w:hint="default"/>
          <w:lang w:val="en-US"/>
        </w:rPr>
        <w:fldChar w:fldCharType="separate"/>
      </w:r>
      <w:r>
        <w:rPr>
          <w:rFonts w:hint="eastAsia" w:ascii="黑体" w:hAnsi="Times New Roman" w:eastAsia="黑体" w:cs="Times New Roman"/>
          <w:bCs w:val="0"/>
          <w:i w:val="0"/>
          <w:iCs w:val="0"/>
          <w:caps w:val="0"/>
          <w:strike w:val="0"/>
          <w:dstrike w:val="0"/>
          <w:outline w:val="0"/>
          <w:shadow w:val="0"/>
          <w:emboss w:val="0"/>
          <w:imprint w:val="0"/>
          <w:vanish w:val="0"/>
          <w:spacing w:val="0"/>
          <w:kern w:val="0"/>
          <w:position w:val="0"/>
          <w:szCs w:val="21"/>
          <w:vertAlign w:val="baseline"/>
          <w:lang w:val="en-US" w:eastAsia="zh-CN"/>
        </w:rPr>
        <w:t xml:space="preserve">11.9 </w:t>
      </w:r>
      <w:r>
        <w:rPr>
          <w:rFonts w:hint="eastAsia"/>
          <w:lang w:val="en-US" w:eastAsia="zh-CN"/>
        </w:rPr>
        <w:t>材料管理</w:t>
      </w:r>
      <w:r>
        <w:tab/>
      </w:r>
      <w:r>
        <w:fldChar w:fldCharType="begin"/>
      </w:r>
      <w:r>
        <w:instrText xml:space="preserve"> PAGEREF _Toc18392 </w:instrText>
      </w:r>
      <w:r>
        <w:fldChar w:fldCharType="separate"/>
      </w:r>
      <w:r>
        <w:t>26</w:t>
      </w:r>
      <w:r>
        <w:fldChar w:fldCharType="end"/>
      </w:r>
      <w:r>
        <w:rPr>
          <w:rFonts w:hint="default"/>
          <w:lang w:val="en-US"/>
        </w:rPr>
        <w:fldChar w:fldCharType="end"/>
      </w:r>
    </w:p>
    <w:p>
      <w:pPr>
        <w:pStyle w:val="11"/>
        <w:tabs>
          <w:tab w:val="right" w:leader="dot" w:pos="9354"/>
          <w:tab w:val="clear" w:pos="9241"/>
        </w:tabs>
      </w:pPr>
      <w:r>
        <w:rPr>
          <w:rFonts w:hint="default"/>
          <w:lang w:val="en-US"/>
        </w:rPr>
        <w:fldChar w:fldCharType="begin"/>
      </w:r>
      <w:r>
        <w:rPr>
          <w:rFonts w:hint="default"/>
          <w:lang w:val="en-US"/>
        </w:rPr>
        <w:instrText xml:space="preserve"> HYPERLINK \l _Toc25006 </w:instrText>
      </w:r>
      <w:r>
        <w:rPr>
          <w:rFonts w:hint="default"/>
          <w:lang w:val="en-US"/>
        </w:rPr>
        <w:fldChar w:fldCharType="separate"/>
      </w:r>
      <w:r>
        <w:rPr>
          <w:rFonts w:hint="eastAsia" w:ascii="黑体" w:hAnsi="Times New Roman" w:eastAsia="黑体" w:cs="Times New Roman"/>
          <w:bCs w:val="0"/>
          <w:i w:val="0"/>
          <w:iCs w:val="0"/>
          <w:caps w:val="0"/>
          <w:strike w:val="0"/>
          <w:dstrike w:val="0"/>
          <w:outline w:val="0"/>
          <w:shadow w:val="0"/>
          <w:emboss w:val="0"/>
          <w:imprint w:val="0"/>
          <w:vanish w:val="0"/>
          <w:spacing w:val="0"/>
          <w:kern w:val="0"/>
          <w:position w:val="0"/>
          <w:szCs w:val="21"/>
          <w:vertAlign w:val="baseline"/>
          <w:lang w:val="en-US" w:eastAsia="zh-CN"/>
        </w:rPr>
        <w:t xml:space="preserve">11.10 </w:t>
      </w:r>
      <w:r>
        <w:rPr>
          <w:rFonts w:hint="eastAsia"/>
          <w:lang w:val="en-US" w:eastAsia="zh-CN"/>
        </w:rPr>
        <w:t>环境保护</w:t>
      </w:r>
      <w:r>
        <w:tab/>
      </w:r>
      <w:r>
        <w:fldChar w:fldCharType="begin"/>
      </w:r>
      <w:r>
        <w:instrText xml:space="preserve"> PAGEREF _Toc25006 </w:instrText>
      </w:r>
      <w:r>
        <w:fldChar w:fldCharType="separate"/>
      </w:r>
      <w:r>
        <w:t>26</w:t>
      </w:r>
      <w:r>
        <w:fldChar w:fldCharType="end"/>
      </w:r>
      <w:r>
        <w:rPr>
          <w:rFonts w:hint="default"/>
          <w:lang w:val="en-US"/>
        </w:rPr>
        <w:fldChar w:fldCharType="end"/>
      </w:r>
    </w:p>
    <w:p>
      <w:pPr>
        <w:pStyle w:val="11"/>
        <w:tabs>
          <w:tab w:val="right" w:leader="dot" w:pos="9354"/>
          <w:tab w:val="clear" w:pos="9241"/>
        </w:tabs>
      </w:pPr>
      <w:r>
        <w:rPr>
          <w:rFonts w:hint="default"/>
          <w:lang w:val="en-US"/>
        </w:rPr>
        <w:fldChar w:fldCharType="begin"/>
      </w:r>
      <w:r>
        <w:rPr>
          <w:rFonts w:hint="default"/>
          <w:lang w:val="en-US"/>
        </w:rPr>
        <w:instrText xml:space="preserve"> HYPERLINK \l _Toc32444 </w:instrText>
      </w:r>
      <w:r>
        <w:rPr>
          <w:rFonts w:hint="default"/>
          <w:lang w:val="en-US"/>
        </w:rPr>
        <w:fldChar w:fldCharType="separate"/>
      </w:r>
      <w:r>
        <w:rPr>
          <w:rFonts w:hint="eastAsia" w:ascii="黑体" w:hAnsi="Times New Roman" w:eastAsia="黑体" w:cs="Times New Roman"/>
          <w:bCs w:val="0"/>
          <w:i w:val="0"/>
          <w:iCs w:val="0"/>
          <w:caps w:val="0"/>
          <w:strike w:val="0"/>
          <w:dstrike w:val="0"/>
          <w:outline w:val="0"/>
          <w:shadow w:val="0"/>
          <w:emboss w:val="0"/>
          <w:imprint w:val="0"/>
          <w:vanish w:val="0"/>
          <w:spacing w:val="0"/>
          <w:kern w:val="0"/>
          <w:position w:val="0"/>
          <w:szCs w:val="21"/>
          <w:vertAlign w:val="baseline"/>
          <w:lang w:val="en-US" w:eastAsia="zh-CN"/>
        </w:rPr>
        <w:t xml:space="preserve">11.11 </w:t>
      </w:r>
      <w:r>
        <w:rPr>
          <w:rFonts w:hint="eastAsia"/>
          <w:lang w:val="en-US" w:eastAsia="zh-CN"/>
        </w:rPr>
        <w:t>组织协调</w:t>
      </w:r>
      <w:r>
        <w:tab/>
      </w:r>
      <w:r>
        <w:fldChar w:fldCharType="begin"/>
      </w:r>
      <w:r>
        <w:instrText xml:space="preserve"> PAGEREF _Toc32444 </w:instrText>
      </w:r>
      <w:r>
        <w:fldChar w:fldCharType="separate"/>
      </w:r>
      <w:r>
        <w:t>27</w:t>
      </w:r>
      <w:r>
        <w:fldChar w:fldCharType="end"/>
      </w:r>
      <w:r>
        <w:rPr>
          <w:rFonts w:hint="default"/>
          <w:lang w:val="en-US"/>
        </w:rPr>
        <w:fldChar w:fldCharType="end"/>
      </w:r>
    </w:p>
    <w:p>
      <w:pPr>
        <w:pStyle w:val="11"/>
        <w:tabs>
          <w:tab w:val="right" w:leader="dot" w:pos="9354"/>
          <w:tab w:val="clear" w:pos="9241"/>
        </w:tabs>
      </w:pPr>
      <w:r>
        <w:rPr>
          <w:rFonts w:hint="default"/>
          <w:lang w:val="en-US"/>
        </w:rPr>
        <w:fldChar w:fldCharType="begin"/>
      </w:r>
      <w:r>
        <w:rPr>
          <w:rFonts w:hint="default"/>
          <w:lang w:val="en-US"/>
        </w:rPr>
        <w:instrText xml:space="preserve"> HYPERLINK \l _Toc4235 </w:instrText>
      </w:r>
      <w:r>
        <w:rPr>
          <w:rFonts w:hint="default"/>
          <w:lang w:val="en-US"/>
        </w:rPr>
        <w:fldChar w:fldCharType="separate"/>
      </w:r>
      <w:r>
        <w:rPr>
          <w:rFonts w:hint="eastAsia" w:ascii="黑体" w:hAnsi="Times New Roman" w:eastAsia="黑体" w:cs="Times New Roman"/>
          <w:bCs w:val="0"/>
          <w:i w:val="0"/>
          <w:iCs w:val="0"/>
          <w:caps w:val="0"/>
          <w:strike w:val="0"/>
          <w:dstrike w:val="0"/>
          <w:outline w:val="0"/>
          <w:shadow w:val="0"/>
          <w:emboss w:val="0"/>
          <w:imprint w:val="0"/>
          <w:vanish w:val="0"/>
          <w:spacing w:val="0"/>
          <w:kern w:val="0"/>
          <w:position w:val="0"/>
          <w:szCs w:val="21"/>
          <w:vertAlign w:val="baseline"/>
          <w:lang w:val="en-US" w:eastAsia="zh-CN"/>
        </w:rPr>
        <w:t xml:space="preserve">11.12 </w:t>
      </w:r>
      <w:r>
        <w:rPr>
          <w:rFonts w:hint="eastAsia"/>
          <w:lang w:val="en-US" w:eastAsia="zh-CN"/>
        </w:rPr>
        <w:t>成本管理</w:t>
      </w:r>
      <w:r>
        <w:tab/>
      </w:r>
      <w:r>
        <w:fldChar w:fldCharType="begin"/>
      </w:r>
      <w:r>
        <w:instrText xml:space="preserve"> PAGEREF _Toc4235 </w:instrText>
      </w:r>
      <w:r>
        <w:fldChar w:fldCharType="separate"/>
      </w:r>
      <w:r>
        <w:t>27</w:t>
      </w:r>
      <w:r>
        <w:fldChar w:fldCharType="end"/>
      </w:r>
      <w:r>
        <w:rPr>
          <w:rFonts w:hint="default"/>
          <w:lang w:val="en-US"/>
        </w:rPr>
        <w:fldChar w:fldCharType="end"/>
      </w:r>
    </w:p>
    <w:p>
      <w:pPr>
        <w:pStyle w:val="11"/>
        <w:tabs>
          <w:tab w:val="right" w:leader="dot" w:pos="9354"/>
          <w:tab w:val="clear" w:pos="9241"/>
        </w:tabs>
      </w:pPr>
      <w:r>
        <w:rPr>
          <w:rFonts w:hint="default"/>
          <w:lang w:val="en-US"/>
        </w:rPr>
        <w:fldChar w:fldCharType="begin"/>
      </w:r>
      <w:r>
        <w:rPr>
          <w:rFonts w:hint="default"/>
          <w:lang w:val="en-US"/>
        </w:rPr>
        <w:instrText xml:space="preserve"> HYPERLINK \l _Toc26149 </w:instrText>
      </w:r>
      <w:r>
        <w:rPr>
          <w:rFonts w:hint="default"/>
          <w:lang w:val="en-US"/>
        </w:rPr>
        <w:fldChar w:fldCharType="separate"/>
      </w:r>
      <w:r>
        <w:rPr>
          <w:rFonts w:hint="eastAsia" w:ascii="黑体" w:hAnsi="Times New Roman" w:eastAsia="黑体" w:cs="Times New Roman"/>
          <w:bCs w:val="0"/>
          <w:i w:val="0"/>
          <w:iCs w:val="0"/>
          <w:caps w:val="0"/>
          <w:strike w:val="0"/>
          <w:dstrike w:val="0"/>
          <w:outline w:val="0"/>
          <w:shadow w:val="0"/>
          <w:emboss w:val="0"/>
          <w:imprint w:val="0"/>
          <w:vanish w:val="0"/>
          <w:spacing w:val="0"/>
          <w:kern w:val="0"/>
          <w:position w:val="0"/>
          <w:szCs w:val="21"/>
          <w:vertAlign w:val="baseline"/>
          <w:lang w:val="en-US" w:eastAsia="zh-CN"/>
        </w:rPr>
        <w:t xml:space="preserve">11.13 </w:t>
      </w:r>
      <w:r>
        <w:rPr>
          <w:rFonts w:hint="default"/>
          <w:lang w:val="en-US" w:eastAsia="zh-CN"/>
        </w:rPr>
        <w:t>变更控制</w:t>
      </w:r>
      <w:r>
        <w:tab/>
      </w:r>
      <w:r>
        <w:fldChar w:fldCharType="begin"/>
      </w:r>
      <w:r>
        <w:instrText xml:space="preserve"> PAGEREF _Toc26149 </w:instrText>
      </w:r>
      <w:r>
        <w:fldChar w:fldCharType="separate"/>
      </w:r>
      <w:r>
        <w:t>27</w:t>
      </w:r>
      <w:r>
        <w:fldChar w:fldCharType="end"/>
      </w:r>
      <w:r>
        <w:rPr>
          <w:rFonts w:hint="default"/>
          <w:lang w:val="en-US"/>
        </w:rPr>
        <w:fldChar w:fldCharType="end"/>
      </w:r>
    </w:p>
    <w:p>
      <w:pPr>
        <w:pStyle w:val="11"/>
        <w:tabs>
          <w:tab w:val="right" w:leader="dot" w:pos="9354"/>
          <w:tab w:val="clear" w:pos="9241"/>
        </w:tabs>
      </w:pPr>
      <w:r>
        <w:rPr>
          <w:rFonts w:hint="default"/>
          <w:lang w:val="en-US"/>
        </w:rPr>
        <w:fldChar w:fldCharType="begin"/>
      </w:r>
      <w:r>
        <w:rPr>
          <w:rFonts w:hint="default"/>
          <w:lang w:val="en-US"/>
        </w:rPr>
        <w:instrText xml:space="preserve"> HYPERLINK \l _Toc12917 </w:instrText>
      </w:r>
      <w:r>
        <w:rPr>
          <w:rFonts w:hint="default"/>
          <w:lang w:val="en-US"/>
        </w:rPr>
        <w:fldChar w:fldCharType="separate"/>
      </w:r>
      <w:r>
        <w:rPr>
          <w:rFonts w:hint="eastAsia" w:ascii="黑体" w:hAnsi="Times New Roman" w:eastAsia="黑体" w:cs="Times New Roman"/>
          <w:bCs w:val="0"/>
          <w:i w:val="0"/>
          <w:iCs w:val="0"/>
          <w:caps w:val="0"/>
          <w:strike w:val="0"/>
          <w:dstrike w:val="0"/>
          <w:outline w:val="0"/>
          <w:shadow w:val="0"/>
          <w:emboss w:val="0"/>
          <w:imprint w:val="0"/>
          <w:vanish w:val="0"/>
          <w:spacing w:val="0"/>
          <w:kern w:val="0"/>
          <w:position w:val="0"/>
          <w:szCs w:val="21"/>
          <w:vertAlign w:val="baseline"/>
          <w:lang w:val="en-US" w:eastAsia="zh-CN"/>
        </w:rPr>
        <w:t xml:space="preserve">11.14 </w:t>
      </w:r>
      <w:r>
        <w:rPr>
          <w:rFonts w:hint="eastAsia"/>
          <w:lang w:val="en-US" w:eastAsia="zh-CN"/>
        </w:rPr>
        <w:t>竣工验收</w:t>
      </w:r>
      <w:r>
        <w:tab/>
      </w:r>
      <w:r>
        <w:fldChar w:fldCharType="begin"/>
      </w:r>
      <w:r>
        <w:instrText xml:space="preserve"> PAGEREF _Toc12917 </w:instrText>
      </w:r>
      <w:r>
        <w:fldChar w:fldCharType="separate"/>
      </w:r>
      <w:r>
        <w:t>28</w:t>
      </w:r>
      <w:r>
        <w:fldChar w:fldCharType="end"/>
      </w:r>
      <w:r>
        <w:rPr>
          <w:rFonts w:hint="default"/>
          <w:lang w:val="en-US"/>
        </w:rPr>
        <w:fldChar w:fldCharType="end"/>
      </w:r>
    </w:p>
    <w:p>
      <w:pPr>
        <w:pStyle w:val="11"/>
        <w:tabs>
          <w:tab w:val="right" w:leader="dot" w:pos="9354"/>
          <w:tab w:val="clear" w:pos="9241"/>
        </w:tabs>
      </w:pPr>
      <w:r>
        <w:rPr>
          <w:rFonts w:hint="default"/>
          <w:lang w:val="en-US"/>
        </w:rPr>
        <w:fldChar w:fldCharType="begin"/>
      </w:r>
      <w:r>
        <w:rPr>
          <w:rFonts w:hint="default"/>
          <w:lang w:val="en-US"/>
        </w:rPr>
        <w:instrText xml:space="preserve"> HYPERLINK \l _Toc23449 </w:instrText>
      </w:r>
      <w:r>
        <w:rPr>
          <w:rFonts w:hint="default"/>
          <w:lang w:val="en-US"/>
        </w:rPr>
        <w:fldChar w:fldCharType="separate"/>
      </w:r>
      <w:r>
        <w:rPr>
          <w:rFonts w:hint="eastAsia" w:ascii="黑体" w:hAnsi="Times New Roman" w:eastAsia="黑体" w:cs="Times New Roman"/>
          <w:bCs w:val="0"/>
          <w:i w:val="0"/>
          <w:iCs w:val="0"/>
          <w:caps w:val="0"/>
          <w:strike w:val="0"/>
          <w:dstrike w:val="0"/>
          <w:outline w:val="0"/>
          <w:shadow w:val="0"/>
          <w:emboss w:val="0"/>
          <w:imprint w:val="0"/>
          <w:vanish w:val="0"/>
          <w:spacing w:val="0"/>
          <w:kern w:val="0"/>
          <w:position w:val="0"/>
          <w:szCs w:val="21"/>
          <w:vertAlign w:val="baseline"/>
          <w:lang w:val="en-US" w:eastAsia="zh-CN"/>
        </w:rPr>
        <w:t xml:space="preserve">11.15 </w:t>
      </w:r>
      <w:r>
        <w:rPr>
          <w:rFonts w:hint="eastAsia"/>
          <w:lang w:val="en-US" w:eastAsia="zh-CN"/>
        </w:rPr>
        <w:t>交付服务</w:t>
      </w:r>
      <w:r>
        <w:tab/>
      </w:r>
      <w:r>
        <w:fldChar w:fldCharType="begin"/>
      </w:r>
      <w:r>
        <w:instrText xml:space="preserve"> PAGEREF _Toc23449 </w:instrText>
      </w:r>
      <w:r>
        <w:fldChar w:fldCharType="separate"/>
      </w:r>
      <w:r>
        <w:t>28</w:t>
      </w:r>
      <w:r>
        <w:fldChar w:fldCharType="end"/>
      </w:r>
      <w:r>
        <w:rPr>
          <w:rFonts w:hint="default"/>
          <w:lang w:val="en-US"/>
        </w:rPr>
        <w:fldChar w:fldCharType="end"/>
      </w:r>
    </w:p>
    <w:p>
      <w:pPr>
        <w:pStyle w:val="11"/>
        <w:tabs>
          <w:tab w:val="right" w:leader="dot" w:pos="9354"/>
          <w:tab w:val="clear" w:pos="9241"/>
        </w:tabs>
      </w:pPr>
      <w:r>
        <w:rPr>
          <w:rFonts w:hint="default"/>
          <w:lang w:val="en-US"/>
        </w:rPr>
        <w:fldChar w:fldCharType="begin"/>
      </w:r>
      <w:r>
        <w:rPr>
          <w:rFonts w:hint="default"/>
          <w:lang w:val="en-US"/>
        </w:rPr>
        <w:instrText xml:space="preserve"> HYPERLINK \l _Toc5538 </w:instrText>
      </w:r>
      <w:r>
        <w:rPr>
          <w:rFonts w:hint="default"/>
          <w:lang w:val="en-US"/>
        </w:rPr>
        <w:fldChar w:fldCharType="separate"/>
      </w:r>
      <w:r>
        <w:rPr>
          <w:rFonts w:hint="eastAsia" w:ascii="黑体" w:hAnsi="Times New Roman" w:eastAsia="黑体" w:cs="Times New Roman"/>
          <w:bCs w:val="0"/>
          <w:i w:val="0"/>
          <w:iCs w:val="0"/>
          <w:caps w:val="0"/>
          <w:strike w:val="0"/>
          <w:dstrike w:val="0"/>
          <w:outline w:val="0"/>
          <w:shadow w:val="0"/>
          <w:emboss w:val="0"/>
          <w:imprint w:val="0"/>
          <w:vanish w:val="0"/>
          <w:spacing w:val="0"/>
          <w:kern w:val="0"/>
          <w:position w:val="0"/>
          <w:szCs w:val="21"/>
          <w:vertAlign w:val="baseline"/>
          <w:lang w:val="en-US" w:eastAsia="zh-CN"/>
        </w:rPr>
        <w:t xml:space="preserve">11.16 </w:t>
      </w:r>
      <w:r>
        <w:rPr>
          <w:rFonts w:hint="eastAsia"/>
          <w:lang w:val="en-US" w:eastAsia="zh-CN"/>
        </w:rPr>
        <w:t>档案管理</w:t>
      </w:r>
      <w:r>
        <w:tab/>
      </w:r>
      <w:r>
        <w:fldChar w:fldCharType="begin"/>
      </w:r>
      <w:r>
        <w:instrText xml:space="preserve"> PAGEREF _Toc5538 </w:instrText>
      </w:r>
      <w:r>
        <w:fldChar w:fldCharType="separate"/>
      </w:r>
      <w:r>
        <w:t>28</w:t>
      </w:r>
      <w:r>
        <w:fldChar w:fldCharType="end"/>
      </w:r>
      <w:r>
        <w:rPr>
          <w:rFonts w:hint="default"/>
          <w:lang w:val="en-US"/>
        </w:rPr>
        <w:fldChar w:fldCharType="end"/>
      </w:r>
    </w:p>
    <w:p>
      <w:pPr>
        <w:pStyle w:val="17"/>
        <w:tabs>
          <w:tab w:val="right" w:leader="dot" w:pos="9354"/>
          <w:tab w:val="clear" w:pos="9242"/>
        </w:tabs>
      </w:pPr>
      <w:r>
        <w:rPr>
          <w:rFonts w:hint="default"/>
          <w:lang w:val="en-US"/>
        </w:rPr>
        <w:fldChar w:fldCharType="begin"/>
      </w:r>
      <w:r>
        <w:rPr>
          <w:rFonts w:hint="default"/>
          <w:lang w:val="en-US"/>
        </w:rPr>
        <w:instrText xml:space="preserve"> HYPERLINK \l _Toc26652 </w:instrText>
      </w:r>
      <w:r>
        <w:rPr>
          <w:rFonts w:hint="default"/>
          <w:lang w:val="en-US"/>
        </w:rPr>
        <w:fldChar w:fldCharType="separate"/>
      </w:r>
      <w:r>
        <w:rPr>
          <w:rFonts w:hint="eastAsia" w:ascii="黑体" w:hAnsi="Times New Roman" w:eastAsia="黑体"/>
          <w:i w:val="0"/>
          <w:szCs w:val="21"/>
          <w:lang w:val="en-US" w:eastAsia="zh-CN"/>
        </w:rPr>
        <w:t xml:space="preserve">12 </w:t>
      </w:r>
      <w:r>
        <w:rPr>
          <w:rFonts w:hint="default"/>
          <w:szCs w:val="22"/>
          <w:lang w:val="en-US" w:eastAsia="zh-CN"/>
        </w:rPr>
        <w:t>应急管理</w:t>
      </w:r>
      <w:r>
        <w:tab/>
      </w:r>
      <w:r>
        <w:fldChar w:fldCharType="begin"/>
      </w:r>
      <w:r>
        <w:instrText xml:space="preserve"> PAGEREF _Toc26652 </w:instrText>
      </w:r>
      <w:r>
        <w:fldChar w:fldCharType="separate"/>
      </w:r>
      <w:r>
        <w:t>29</w:t>
      </w:r>
      <w:r>
        <w:fldChar w:fldCharType="end"/>
      </w:r>
      <w:r>
        <w:rPr>
          <w:rFonts w:hint="default"/>
          <w:lang w:val="en-US"/>
        </w:rPr>
        <w:fldChar w:fldCharType="end"/>
      </w:r>
    </w:p>
    <w:p>
      <w:pPr>
        <w:pStyle w:val="11"/>
        <w:tabs>
          <w:tab w:val="right" w:leader="dot" w:pos="9354"/>
          <w:tab w:val="clear" w:pos="9241"/>
        </w:tabs>
      </w:pPr>
      <w:r>
        <w:rPr>
          <w:rFonts w:hint="default"/>
          <w:lang w:val="en-US"/>
        </w:rPr>
        <w:fldChar w:fldCharType="begin"/>
      </w:r>
      <w:r>
        <w:rPr>
          <w:rFonts w:hint="default"/>
          <w:lang w:val="en-US"/>
        </w:rPr>
        <w:instrText xml:space="preserve"> HYPERLINK \l _Toc19485 </w:instrText>
      </w:r>
      <w:r>
        <w:rPr>
          <w:rFonts w:hint="default"/>
          <w:lang w:val="en-US"/>
        </w:rPr>
        <w:fldChar w:fldCharType="separate"/>
      </w:r>
      <w:r>
        <w:rPr>
          <w:rFonts w:hint="eastAsia" w:ascii="黑体" w:hAnsi="Times New Roman" w:eastAsia="黑体" w:cs="Times New Roman"/>
          <w:bCs w:val="0"/>
          <w:i w:val="0"/>
          <w:iCs w:val="0"/>
          <w:caps w:val="0"/>
          <w:strike w:val="0"/>
          <w:dstrike w:val="0"/>
          <w:outline w:val="0"/>
          <w:shadow w:val="0"/>
          <w:emboss w:val="0"/>
          <w:imprint w:val="0"/>
          <w:vanish w:val="0"/>
          <w:spacing w:val="0"/>
          <w:kern w:val="0"/>
          <w:position w:val="0"/>
          <w:szCs w:val="21"/>
          <w:vertAlign w:val="baseline"/>
        </w:rPr>
        <w:t xml:space="preserve">12.1 </w:t>
      </w:r>
      <w:r>
        <w:t>应急准备</w:t>
      </w:r>
      <w:r>
        <w:tab/>
      </w:r>
      <w:r>
        <w:fldChar w:fldCharType="begin"/>
      </w:r>
      <w:r>
        <w:instrText xml:space="preserve"> PAGEREF _Toc19485 </w:instrText>
      </w:r>
      <w:r>
        <w:fldChar w:fldCharType="separate"/>
      </w:r>
      <w:r>
        <w:t>29</w:t>
      </w:r>
      <w:r>
        <w:fldChar w:fldCharType="end"/>
      </w:r>
      <w:r>
        <w:rPr>
          <w:rFonts w:hint="default"/>
          <w:lang w:val="en-US"/>
        </w:rPr>
        <w:fldChar w:fldCharType="end"/>
      </w:r>
    </w:p>
    <w:p>
      <w:pPr>
        <w:pStyle w:val="11"/>
        <w:tabs>
          <w:tab w:val="right" w:leader="dot" w:pos="9354"/>
          <w:tab w:val="clear" w:pos="9241"/>
        </w:tabs>
      </w:pPr>
      <w:r>
        <w:rPr>
          <w:rFonts w:hint="default"/>
          <w:lang w:val="en-US"/>
        </w:rPr>
        <w:fldChar w:fldCharType="begin"/>
      </w:r>
      <w:r>
        <w:rPr>
          <w:rFonts w:hint="default"/>
          <w:lang w:val="en-US"/>
        </w:rPr>
        <w:instrText xml:space="preserve"> HYPERLINK \l _Toc13883 </w:instrText>
      </w:r>
      <w:r>
        <w:rPr>
          <w:rFonts w:hint="default"/>
          <w:lang w:val="en-US"/>
        </w:rPr>
        <w:fldChar w:fldCharType="separate"/>
      </w:r>
      <w:r>
        <w:rPr>
          <w:rFonts w:hint="eastAsia" w:ascii="黑体" w:hAnsi="Times New Roman" w:eastAsia="黑体" w:cs="Times New Roman"/>
          <w:bCs w:val="0"/>
          <w:i w:val="0"/>
          <w:iCs w:val="0"/>
          <w:caps w:val="0"/>
          <w:strike w:val="0"/>
          <w:dstrike w:val="0"/>
          <w:outline w:val="0"/>
          <w:shadow w:val="0"/>
          <w:emboss w:val="0"/>
          <w:imprint w:val="0"/>
          <w:vanish w:val="0"/>
          <w:spacing w:val="0"/>
          <w:kern w:val="0"/>
          <w:position w:val="0"/>
          <w:szCs w:val="21"/>
          <w:vertAlign w:val="baseline"/>
        </w:rPr>
        <w:t xml:space="preserve">12.2 </w:t>
      </w:r>
      <w:r>
        <w:t>应急响应</w:t>
      </w:r>
      <w:r>
        <w:tab/>
      </w:r>
      <w:r>
        <w:fldChar w:fldCharType="begin"/>
      </w:r>
      <w:r>
        <w:instrText xml:space="preserve"> PAGEREF _Toc13883 </w:instrText>
      </w:r>
      <w:r>
        <w:fldChar w:fldCharType="separate"/>
      </w:r>
      <w:r>
        <w:t>29</w:t>
      </w:r>
      <w:r>
        <w:fldChar w:fldCharType="end"/>
      </w:r>
      <w:r>
        <w:rPr>
          <w:rFonts w:hint="default"/>
          <w:lang w:val="en-US"/>
        </w:rPr>
        <w:fldChar w:fldCharType="end"/>
      </w:r>
    </w:p>
    <w:p>
      <w:pPr>
        <w:pStyle w:val="11"/>
        <w:tabs>
          <w:tab w:val="right" w:leader="dot" w:pos="9354"/>
          <w:tab w:val="clear" w:pos="9241"/>
        </w:tabs>
      </w:pPr>
      <w:r>
        <w:rPr>
          <w:rFonts w:hint="default"/>
          <w:lang w:val="en-US"/>
        </w:rPr>
        <w:fldChar w:fldCharType="begin"/>
      </w:r>
      <w:r>
        <w:rPr>
          <w:rFonts w:hint="default"/>
          <w:lang w:val="en-US"/>
        </w:rPr>
        <w:instrText xml:space="preserve"> HYPERLINK \l _Toc31788 </w:instrText>
      </w:r>
      <w:r>
        <w:rPr>
          <w:rFonts w:hint="default"/>
          <w:lang w:val="en-US"/>
        </w:rPr>
        <w:fldChar w:fldCharType="separate"/>
      </w:r>
      <w:r>
        <w:rPr>
          <w:rFonts w:hint="eastAsia" w:ascii="黑体" w:hAnsi="Times New Roman" w:eastAsia="黑体" w:cs="Times New Roman"/>
          <w:bCs w:val="0"/>
          <w:i w:val="0"/>
          <w:iCs w:val="0"/>
          <w:caps w:val="0"/>
          <w:strike w:val="0"/>
          <w:dstrike w:val="0"/>
          <w:outline w:val="0"/>
          <w:shadow w:val="0"/>
          <w:emboss w:val="0"/>
          <w:imprint w:val="0"/>
          <w:vanish w:val="0"/>
          <w:spacing w:val="0"/>
          <w:kern w:val="0"/>
          <w:position w:val="0"/>
          <w:szCs w:val="21"/>
          <w:vertAlign w:val="baseline"/>
        </w:rPr>
        <w:t xml:space="preserve">12.3 </w:t>
      </w:r>
      <w:r>
        <w:t>处置评估</w:t>
      </w:r>
      <w:r>
        <w:tab/>
      </w:r>
      <w:r>
        <w:fldChar w:fldCharType="begin"/>
      </w:r>
      <w:r>
        <w:instrText xml:space="preserve"> PAGEREF _Toc31788 </w:instrText>
      </w:r>
      <w:r>
        <w:fldChar w:fldCharType="separate"/>
      </w:r>
      <w:r>
        <w:t>29</w:t>
      </w:r>
      <w:r>
        <w:fldChar w:fldCharType="end"/>
      </w:r>
      <w:r>
        <w:rPr>
          <w:rFonts w:hint="default"/>
          <w:lang w:val="en-US"/>
        </w:rPr>
        <w:fldChar w:fldCharType="end"/>
      </w:r>
    </w:p>
    <w:p>
      <w:pPr>
        <w:pStyle w:val="17"/>
        <w:tabs>
          <w:tab w:val="right" w:leader="dot" w:pos="9354"/>
          <w:tab w:val="clear" w:pos="9242"/>
        </w:tabs>
      </w:pPr>
      <w:r>
        <w:rPr>
          <w:rFonts w:hint="default"/>
          <w:lang w:val="en-US"/>
        </w:rPr>
        <w:fldChar w:fldCharType="begin"/>
      </w:r>
      <w:r>
        <w:rPr>
          <w:rFonts w:hint="default"/>
          <w:lang w:val="en-US"/>
        </w:rPr>
        <w:instrText xml:space="preserve"> HYPERLINK \l _Toc2410 </w:instrText>
      </w:r>
      <w:r>
        <w:rPr>
          <w:rFonts w:hint="default"/>
          <w:lang w:val="en-US"/>
        </w:rPr>
        <w:fldChar w:fldCharType="separate"/>
      </w:r>
      <w:r>
        <w:rPr>
          <w:rFonts w:hint="eastAsia" w:ascii="黑体" w:hAnsi="Times New Roman" w:eastAsia="黑体"/>
          <w:i w:val="0"/>
          <w:szCs w:val="21"/>
          <w:lang w:val="en-US" w:eastAsia="zh-CN"/>
        </w:rPr>
        <w:t xml:space="preserve">13 </w:t>
      </w:r>
      <w:r>
        <w:rPr>
          <w:rFonts w:hint="default"/>
          <w:szCs w:val="22"/>
          <w:lang w:val="en-US" w:eastAsia="zh-CN"/>
        </w:rPr>
        <w:t>绩效评价</w:t>
      </w:r>
      <w:r>
        <w:tab/>
      </w:r>
      <w:r>
        <w:fldChar w:fldCharType="begin"/>
      </w:r>
      <w:r>
        <w:instrText xml:space="preserve"> PAGEREF _Toc2410 </w:instrText>
      </w:r>
      <w:r>
        <w:fldChar w:fldCharType="separate"/>
      </w:r>
      <w:r>
        <w:t>30</w:t>
      </w:r>
      <w:r>
        <w:fldChar w:fldCharType="end"/>
      </w:r>
      <w:r>
        <w:rPr>
          <w:rFonts w:hint="default"/>
          <w:lang w:val="en-US"/>
        </w:rPr>
        <w:fldChar w:fldCharType="end"/>
      </w:r>
    </w:p>
    <w:p>
      <w:pPr>
        <w:pStyle w:val="11"/>
        <w:tabs>
          <w:tab w:val="right" w:leader="dot" w:pos="9354"/>
          <w:tab w:val="clear" w:pos="9241"/>
        </w:tabs>
      </w:pPr>
      <w:r>
        <w:rPr>
          <w:rFonts w:hint="default"/>
          <w:lang w:val="en-US"/>
        </w:rPr>
        <w:fldChar w:fldCharType="begin"/>
      </w:r>
      <w:r>
        <w:rPr>
          <w:rFonts w:hint="default"/>
          <w:lang w:val="en-US"/>
        </w:rPr>
        <w:instrText xml:space="preserve"> HYPERLINK \l _Toc16556 </w:instrText>
      </w:r>
      <w:r>
        <w:rPr>
          <w:rFonts w:hint="default"/>
          <w:lang w:val="en-US"/>
        </w:rPr>
        <w:fldChar w:fldCharType="separate"/>
      </w:r>
      <w:r>
        <w:rPr>
          <w:rFonts w:hint="eastAsia" w:ascii="黑体" w:hAnsi="Times New Roman" w:eastAsia="黑体" w:cs="Times New Roman"/>
          <w:bCs w:val="0"/>
          <w:i w:val="0"/>
          <w:iCs w:val="0"/>
          <w:caps w:val="0"/>
          <w:strike w:val="0"/>
          <w:dstrike w:val="0"/>
          <w:outline w:val="0"/>
          <w:shadow w:val="0"/>
          <w:emboss w:val="0"/>
          <w:imprint w:val="0"/>
          <w:vanish w:val="0"/>
          <w:spacing w:val="0"/>
          <w:kern w:val="0"/>
          <w:position w:val="0"/>
          <w:szCs w:val="21"/>
          <w:vertAlign w:val="baseline"/>
          <w:lang w:val="en-US" w:eastAsia="zh-CN"/>
        </w:rPr>
        <w:t xml:space="preserve">13.1 </w:t>
      </w:r>
      <w:r>
        <w:rPr>
          <w:rFonts w:hint="default"/>
          <w:lang w:val="en-US" w:eastAsia="zh-CN"/>
        </w:rPr>
        <w:t>安全检查</w:t>
      </w:r>
      <w:r>
        <w:tab/>
      </w:r>
      <w:r>
        <w:fldChar w:fldCharType="begin"/>
      </w:r>
      <w:r>
        <w:instrText xml:space="preserve"> PAGEREF _Toc16556 </w:instrText>
      </w:r>
      <w:r>
        <w:fldChar w:fldCharType="separate"/>
      </w:r>
      <w:r>
        <w:t>30</w:t>
      </w:r>
      <w:r>
        <w:fldChar w:fldCharType="end"/>
      </w:r>
      <w:r>
        <w:rPr>
          <w:rFonts w:hint="default"/>
          <w:lang w:val="en-US"/>
        </w:rPr>
        <w:fldChar w:fldCharType="end"/>
      </w:r>
    </w:p>
    <w:p>
      <w:pPr>
        <w:pStyle w:val="11"/>
        <w:tabs>
          <w:tab w:val="right" w:leader="dot" w:pos="9354"/>
          <w:tab w:val="clear" w:pos="9241"/>
        </w:tabs>
      </w:pPr>
      <w:r>
        <w:rPr>
          <w:rFonts w:hint="default"/>
          <w:lang w:val="en-US"/>
        </w:rPr>
        <w:fldChar w:fldCharType="begin"/>
      </w:r>
      <w:r>
        <w:rPr>
          <w:rFonts w:hint="default"/>
          <w:lang w:val="en-US"/>
        </w:rPr>
        <w:instrText xml:space="preserve"> HYPERLINK \l _Toc18785 </w:instrText>
      </w:r>
      <w:r>
        <w:rPr>
          <w:rFonts w:hint="default"/>
          <w:lang w:val="en-US"/>
        </w:rPr>
        <w:fldChar w:fldCharType="separate"/>
      </w:r>
      <w:r>
        <w:rPr>
          <w:rFonts w:hint="eastAsia" w:ascii="黑体" w:hAnsi="Times New Roman" w:eastAsia="黑体" w:cs="Times New Roman"/>
          <w:bCs w:val="0"/>
          <w:i w:val="0"/>
          <w:iCs w:val="0"/>
          <w:caps w:val="0"/>
          <w:strike w:val="0"/>
          <w:dstrike w:val="0"/>
          <w:outline w:val="0"/>
          <w:shadow w:val="0"/>
          <w:emboss w:val="0"/>
          <w:imprint w:val="0"/>
          <w:vanish w:val="0"/>
          <w:spacing w:val="0"/>
          <w:kern w:val="0"/>
          <w:position w:val="0"/>
          <w:szCs w:val="21"/>
          <w:vertAlign w:val="baseline"/>
          <w:lang w:val="en-US" w:eastAsia="zh-CN"/>
        </w:rPr>
        <w:t xml:space="preserve">13.2 </w:t>
      </w:r>
      <w:r>
        <w:rPr>
          <w:rFonts w:hint="default"/>
          <w:lang w:val="en-US" w:eastAsia="zh-CN"/>
        </w:rPr>
        <w:t>绩效考核</w:t>
      </w:r>
      <w:r>
        <w:tab/>
      </w:r>
      <w:r>
        <w:fldChar w:fldCharType="begin"/>
      </w:r>
      <w:r>
        <w:instrText xml:space="preserve"> PAGEREF _Toc18785 </w:instrText>
      </w:r>
      <w:r>
        <w:fldChar w:fldCharType="separate"/>
      </w:r>
      <w:r>
        <w:t>30</w:t>
      </w:r>
      <w:r>
        <w:fldChar w:fldCharType="end"/>
      </w:r>
      <w:r>
        <w:rPr>
          <w:rFonts w:hint="default"/>
          <w:lang w:val="en-US"/>
        </w:rPr>
        <w:fldChar w:fldCharType="end"/>
      </w:r>
    </w:p>
    <w:p>
      <w:pPr>
        <w:pStyle w:val="11"/>
        <w:tabs>
          <w:tab w:val="right" w:leader="dot" w:pos="9354"/>
          <w:tab w:val="clear" w:pos="9241"/>
        </w:tabs>
      </w:pPr>
      <w:r>
        <w:rPr>
          <w:rFonts w:hint="default"/>
          <w:lang w:val="en-US"/>
        </w:rPr>
        <w:fldChar w:fldCharType="begin"/>
      </w:r>
      <w:r>
        <w:rPr>
          <w:rFonts w:hint="default"/>
          <w:lang w:val="en-US"/>
        </w:rPr>
        <w:instrText xml:space="preserve"> HYPERLINK \l _Toc383 </w:instrText>
      </w:r>
      <w:r>
        <w:rPr>
          <w:rFonts w:hint="default"/>
          <w:lang w:val="en-US"/>
        </w:rPr>
        <w:fldChar w:fldCharType="separate"/>
      </w:r>
      <w:r>
        <w:rPr>
          <w:rFonts w:hint="eastAsia" w:ascii="黑体" w:hAnsi="Times New Roman" w:eastAsia="黑体" w:cs="Times New Roman"/>
          <w:bCs w:val="0"/>
          <w:i w:val="0"/>
          <w:iCs w:val="0"/>
          <w:caps w:val="0"/>
          <w:strike w:val="0"/>
          <w:dstrike w:val="0"/>
          <w:outline w:val="0"/>
          <w:shadow w:val="0"/>
          <w:emboss w:val="0"/>
          <w:imprint w:val="0"/>
          <w:vanish w:val="0"/>
          <w:spacing w:val="0"/>
          <w:kern w:val="0"/>
          <w:position w:val="0"/>
          <w:szCs w:val="21"/>
          <w:vertAlign w:val="baseline"/>
          <w:lang w:val="en-US" w:eastAsia="zh-CN"/>
        </w:rPr>
        <w:t xml:space="preserve">13.3 </w:t>
      </w:r>
      <w:r>
        <w:rPr>
          <w:rFonts w:hint="eastAsia"/>
          <w:lang w:val="en-US" w:eastAsia="zh-CN"/>
        </w:rPr>
        <w:t>内部审核</w:t>
      </w:r>
      <w:r>
        <w:tab/>
      </w:r>
      <w:r>
        <w:fldChar w:fldCharType="begin"/>
      </w:r>
      <w:r>
        <w:instrText xml:space="preserve"> PAGEREF _Toc383 </w:instrText>
      </w:r>
      <w:r>
        <w:fldChar w:fldCharType="separate"/>
      </w:r>
      <w:r>
        <w:t>30</w:t>
      </w:r>
      <w:r>
        <w:fldChar w:fldCharType="end"/>
      </w:r>
      <w:r>
        <w:rPr>
          <w:rFonts w:hint="default"/>
          <w:lang w:val="en-US"/>
        </w:rPr>
        <w:fldChar w:fldCharType="end"/>
      </w:r>
    </w:p>
    <w:p>
      <w:pPr>
        <w:pStyle w:val="11"/>
        <w:tabs>
          <w:tab w:val="right" w:leader="dot" w:pos="9354"/>
          <w:tab w:val="clear" w:pos="9241"/>
        </w:tabs>
      </w:pPr>
      <w:r>
        <w:rPr>
          <w:rFonts w:hint="default"/>
          <w:lang w:val="en-US"/>
        </w:rPr>
        <w:fldChar w:fldCharType="begin"/>
      </w:r>
      <w:r>
        <w:rPr>
          <w:rFonts w:hint="default"/>
          <w:lang w:val="en-US"/>
        </w:rPr>
        <w:instrText xml:space="preserve"> HYPERLINK \l _Toc2399 </w:instrText>
      </w:r>
      <w:r>
        <w:rPr>
          <w:rFonts w:hint="default"/>
          <w:lang w:val="en-US"/>
        </w:rPr>
        <w:fldChar w:fldCharType="separate"/>
      </w:r>
      <w:r>
        <w:rPr>
          <w:rFonts w:hint="eastAsia" w:ascii="黑体" w:hAnsi="Times New Roman" w:eastAsia="黑体" w:cs="Times New Roman"/>
          <w:bCs w:val="0"/>
          <w:i w:val="0"/>
          <w:iCs w:val="0"/>
          <w:caps w:val="0"/>
          <w:strike w:val="0"/>
          <w:dstrike w:val="0"/>
          <w:outline w:val="0"/>
          <w:shadow w:val="0"/>
          <w:emboss w:val="0"/>
          <w:imprint w:val="0"/>
          <w:vanish w:val="0"/>
          <w:spacing w:val="0"/>
          <w:kern w:val="0"/>
          <w:position w:val="0"/>
          <w:szCs w:val="21"/>
          <w:vertAlign w:val="baseline"/>
          <w:lang w:val="en-US" w:eastAsia="zh-CN"/>
        </w:rPr>
        <w:t xml:space="preserve">13.4 </w:t>
      </w:r>
      <w:r>
        <w:rPr>
          <w:rFonts w:hint="default"/>
          <w:lang w:val="en-US" w:eastAsia="zh-CN"/>
        </w:rPr>
        <w:t>外部审核</w:t>
      </w:r>
      <w:r>
        <w:tab/>
      </w:r>
      <w:r>
        <w:fldChar w:fldCharType="begin"/>
      </w:r>
      <w:r>
        <w:instrText xml:space="preserve"> PAGEREF _Toc2399 </w:instrText>
      </w:r>
      <w:r>
        <w:fldChar w:fldCharType="separate"/>
      </w:r>
      <w:r>
        <w:t>31</w:t>
      </w:r>
      <w:r>
        <w:fldChar w:fldCharType="end"/>
      </w:r>
      <w:r>
        <w:rPr>
          <w:rFonts w:hint="default"/>
          <w:lang w:val="en-US"/>
        </w:rPr>
        <w:fldChar w:fldCharType="end"/>
      </w:r>
    </w:p>
    <w:p>
      <w:pPr>
        <w:pStyle w:val="11"/>
        <w:tabs>
          <w:tab w:val="right" w:leader="dot" w:pos="9354"/>
          <w:tab w:val="clear" w:pos="9241"/>
        </w:tabs>
      </w:pPr>
      <w:r>
        <w:rPr>
          <w:rFonts w:hint="default"/>
          <w:lang w:val="en-US"/>
        </w:rPr>
        <w:fldChar w:fldCharType="begin"/>
      </w:r>
      <w:r>
        <w:rPr>
          <w:rFonts w:hint="default"/>
          <w:lang w:val="en-US"/>
        </w:rPr>
        <w:instrText xml:space="preserve"> HYPERLINK \l _Toc11333 </w:instrText>
      </w:r>
      <w:r>
        <w:rPr>
          <w:rFonts w:hint="default"/>
          <w:lang w:val="en-US"/>
        </w:rPr>
        <w:fldChar w:fldCharType="separate"/>
      </w:r>
      <w:r>
        <w:rPr>
          <w:rFonts w:hint="eastAsia" w:ascii="黑体" w:hAnsi="Times New Roman" w:eastAsia="黑体" w:cs="Times New Roman"/>
          <w:bCs w:val="0"/>
          <w:i w:val="0"/>
          <w:iCs w:val="0"/>
          <w:caps w:val="0"/>
          <w:strike w:val="0"/>
          <w:dstrike w:val="0"/>
          <w:outline w:val="0"/>
          <w:shadow w:val="0"/>
          <w:emboss w:val="0"/>
          <w:imprint w:val="0"/>
          <w:vanish w:val="0"/>
          <w:spacing w:val="0"/>
          <w:kern w:val="0"/>
          <w:position w:val="0"/>
          <w:szCs w:val="21"/>
          <w:vertAlign w:val="baseline"/>
          <w:lang w:val="en-US" w:eastAsia="zh-CN"/>
        </w:rPr>
        <w:t xml:space="preserve">13.5 </w:t>
      </w:r>
      <w:r>
        <w:rPr>
          <w:rFonts w:hint="default"/>
          <w:lang w:val="en-US" w:eastAsia="zh-CN"/>
        </w:rPr>
        <w:t>管理评审</w:t>
      </w:r>
      <w:r>
        <w:tab/>
      </w:r>
      <w:r>
        <w:fldChar w:fldCharType="begin"/>
      </w:r>
      <w:r>
        <w:instrText xml:space="preserve"> PAGEREF _Toc11333 </w:instrText>
      </w:r>
      <w:r>
        <w:fldChar w:fldCharType="separate"/>
      </w:r>
      <w:r>
        <w:t>31</w:t>
      </w:r>
      <w:r>
        <w:fldChar w:fldCharType="end"/>
      </w:r>
      <w:r>
        <w:rPr>
          <w:rFonts w:hint="default"/>
          <w:lang w:val="en-US"/>
        </w:rPr>
        <w:fldChar w:fldCharType="end"/>
      </w:r>
    </w:p>
    <w:p>
      <w:pPr>
        <w:pStyle w:val="17"/>
        <w:tabs>
          <w:tab w:val="right" w:leader="dot" w:pos="9354"/>
          <w:tab w:val="clear" w:pos="9242"/>
        </w:tabs>
      </w:pPr>
      <w:r>
        <w:rPr>
          <w:rFonts w:hint="default"/>
          <w:lang w:val="en-US"/>
        </w:rPr>
        <w:fldChar w:fldCharType="begin"/>
      </w:r>
      <w:r>
        <w:rPr>
          <w:rFonts w:hint="default"/>
          <w:lang w:val="en-US"/>
        </w:rPr>
        <w:instrText xml:space="preserve"> HYPERLINK \l _Toc29301 </w:instrText>
      </w:r>
      <w:r>
        <w:rPr>
          <w:rFonts w:hint="default"/>
          <w:lang w:val="en-US"/>
        </w:rPr>
        <w:fldChar w:fldCharType="separate"/>
      </w:r>
      <w:r>
        <w:rPr>
          <w:rFonts w:hint="eastAsia" w:ascii="黑体" w:hAnsi="Times New Roman" w:eastAsia="黑体"/>
          <w:i w:val="0"/>
          <w:szCs w:val="21"/>
          <w:lang w:val="en-US" w:eastAsia="zh-CN"/>
        </w:rPr>
        <w:t xml:space="preserve">14 </w:t>
      </w:r>
      <w:r>
        <w:rPr>
          <w:rFonts w:hint="eastAsia"/>
          <w:szCs w:val="22"/>
          <w:lang w:val="en-US" w:eastAsia="zh-CN"/>
        </w:rPr>
        <w:t>改进</w:t>
      </w:r>
      <w:r>
        <w:tab/>
      </w:r>
      <w:r>
        <w:fldChar w:fldCharType="begin"/>
      </w:r>
      <w:r>
        <w:instrText xml:space="preserve"> PAGEREF _Toc29301 </w:instrText>
      </w:r>
      <w:r>
        <w:fldChar w:fldCharType="separate"/>
      </w:r>
      <w:r>
        <w:t>31</w:t>
      </w:r>
      <w:r>
        <w:fldChar w:fldCharType="end"/>
      </w:r>
      <w:r>
        <w:rPr>
          <w:rFonts w:hint="default"/>
          <w:lang w:val="en-US"/>
        </w:rPr>
        <w:fldChar w:fldCharType="end"/>
      </w:r>
    </w:p>
    <w:p>
      <w:pPr>
        <w:pStyle w:val="11"/>
        <w:tabs>
          <w:tab w:val="right" w:leader="dot" w:pos="9354"/>
          <w:tab w:val="clear" w:pos="9241"/>
        </w:tabs>
      </w:pPr>
      <w:r>
        <w:rPr>
          <w:rFonts w:hint="default"/>
          <w:lang w:val="en-US"/>
        </w:rPr>
        <w:fldChar w:fldCharType="begin"/>
      </w:r>
      <w:r>
        <w:rPr>
          <w:rFonts w:hint="default"/>
          <w:lang w:val="en-US"/>
        </w:rPr>
        <w:instrText xml:space="preserve"> HYPERLINK \l _Toc14319 </w:instrText>
      </w:r>
      <w:r>
        <w:rPr>
          <w:rFonts w:hint="default"/>
          <w:lang w:val="en-US"/>
        </w:rPr>
        <w:fldChar w:fldCharType="separate"/>
      </w:r>
      <w:r>
        <w:rPr>
          <w:rFonts w:hint="eastAsia" w:ascii="黑体" w:hAnsi="Times New Roman" w:eastAsia="黑体" w:cs="Times New Roman"/>
          <w:bCs w:val="0"/>
          <w:i w:val="0"/>
          <w:iCs w:val="0"/>
          <w:caps w:val="0"/>
          <w:strike w:val="0"/>
          <w:dstrike w:val="0"/>
          <w:outline w:val="0"/>
          <w:shadow w:val="0"/>
          <w:emboss w:val="0"/>
          <w:imprint w:val="0"/>
          <w:vanish w:val="0"/>
          <w:spacing w:val="0"/>
          <w:kern w:val="0"/>
          <w:position w:val="0"/>
          <w:szCs w:val="21"/>
          <w:vertAlign w:val="baseline"/>
          <w:lang w:val="en-US" w:eastAsia="zh-CN"/>
        </w:rPr>
        <w:t xml:space="preserve">14.1 </w:t>
      </w:r>
      <w:r>
        <w:rPr>
          <w:rFonts w:hint="default"/>
          <w:lang w:val="en-US" w:eastAsia="zh-CN"/>
        </w:rPr>
        <w:t>事故事件管理</w:t>
      </w:r>
      <w:r>
        <w:tab/>
      </w:r>
      <w:r>
        <w:fldChar w:fldCharType="begin"/>
      </w:r>
      <w:r>
        <w:instrText xml:space="preserve"> PAGEREF _Toc14319 </w:instrText>
      </w:r>
      <w:r>
        <w:fldChar w:fldCharType="separate"/>
      </w:r>
      <w:r>
        <w:t>32</w:t>
      </w:r>
      <w:r>
        <w:fldChar w:fldCharType="end"/>
      </w:r>
      <w:r>
        <w:rPr>
          <w:rFonts w:hint="default"/>
          <w:lang w:val="en-US"/>
        </w:rPr>
        <w:fldChar w:fldCharType="end"/>
      </w:r>
    </w:p>
    <w:p>
      <w:pPr>
        <w:pStyle w:val="11"/>
        <w:tabs>
          <w:tab w:val="right" w:leader="dot" w:pos="9354"/>
          <w:tab w:val="clear" w:pos="9241"/>
        </w:tabs>
      </w:pPr>
      <w:r>
        <w:rPr>
          <w:rFonts w:hint="default"/>
          <w:lang w:val="en-US"/>
        </w:rPr>
        <w:fldChar w:fldCharType="begin"/>
      </w:r>
      <w:r>
        <w:rPr>
          <w:rFonts w:hint="default"/>
          <w:lang w:val="en-US"/>
        </w:rPr>
        <w:instrText xml:space="preserve"> HYPERLINK \l _Toc29007 </w:instrText>
      </w:r>
      <w:r>
        <w:rPr>
          <w:rFonts w:hint="default"/>
          <w:lang w:val="en-US"/>
        </w:rPr>
        <w:fldChar w:fldCharType="separate"/>
      </w:r>
      <w:r>
        <w:rPr>
          <w:rFonts w:hint="eastAsia"/>
          <w:lang w:val="en-US" w:eastAsia="zh-CN"/>
        </w:rPr>
        <w:t>14.1.1报告</w:t>
      </w:r>
      <w:r>
        <w:tab/>
      </w:r>
      <w:r>
        <w:fldChar w:fldCharType="begin"/>
      </w:r>
      <w:r>
        <w:instrText xml:space="preserve"> PAGEREF _Toc29007 </w:instrText>
      </w:r>
      <w:r>
        <w:fldChar w:fldCharType="separate"/>
      </w:r>
      <w:r>
        <w:t>32</w:t>
      </w:r>
      <w:r>
        <w:fldChar w:fldCharType="end"/>
      </w:r>
      <w:r>
        <w:rPr>
          <w:rFonts w:hint="default"/>
          <w:lang w:val="en-US"/>
        </w:rPr>
        <w:fldChar w:fldCharType="end"/>
      </w:r>
    </w:p>
    <w:p>
      <w:pPr>
        <w:pStyle w:val="11"/>
        <w:tabs>
          <w:tab w:val="right" w:leader="dot" w:pos="9354"/>
          <w:tab w:val="clear" w:pos="9241"/>
        </w:tabs>
      </w:pPr>
      <w:r>
        <w:rPr>
          <w:rFonts w:hint="default"/>
          <w:lang w:val="en-US"/>
        </w:rPr>
        <w:fldChar w:fldCharType="begin"/>
      </w:r>
      <w:r>
        <w:rPr>
          <w:rFonts w:hint="default"/>
          <w:lang w:val="en-US"/>
        </w:rPr>
        <w:instrText xml:space="preserve"> HYPERLINK \l _Toc29176 </w:instrText>
      </w:r>
      <w:r>
        <w:rPr>
          <w:rFonts w:hint="default"/>
          <w:lang w:val="en-US"/>
        </w:rPr>
        <w:fldChar w:fldCharType="separate"/>
      </w:r>
      <w:r>
        <w:rPr>
          <w:rFonts w:hint="eastAsia"/>
          <w:lang w:val="en-US" w:eastAsia="zh-CN"/>
        </w:rPr>
        <w:t>14.1.2调查</w:t>
      </w:r>
      <w:r>
        <w:tab/>
      </w:r>
      <w:r>
        <w:fldChar w:fldCharType="begin"/>
      </w:r>
      <w:r>
        <w:instrText xml:space="preserve"> PAGEREF _Toc29176 </w:instrText>
      </w:r>
      <w:r>
        <w:fldChar w:fldCharType="separate"/>
      </w:r>
      <w:r>
        <w:t>32</w:t>
      </w:r>
      <w:r>
        <w:fldChar w:fldCharType="end"/>
      </w:r>
      <w:r>
        <w:rPr>
          <w:rFonts w:hint="default"/>
          <w:lang w:val="en-US"/>
        </w:rPr>
        <w:fldChar w:fldCharType="end"/>
      </w:r>
    </w:p>
    <w:p>
      <w:pPr>
        <w:pStyle w:val="11"/>
        <w:tabs>
          <w:tab w:val="right" w:leader="dot" w:pos="9354"/>
          <w:tab w:val="clear" w:pos="9241"/>
        </w:tabs>
      </w:pPr>
      <w:r>
        <w:rPr>
          <w:rFonts w:hint="default"/>
          <w:lang w:val="en-US"/>
        </w:rPr>
        <w:fldChar w:fldCharType="begin"/>
      </w:r>
      <w:r>
        <w:rPr>
          <w:rFonts w:hint="default"/>
          <w:lang w:val="en-US"/>
        </w:rPr>
        <w:instrText xml:space="preserve"> HYPERLINK \l _Toc19215 </w:instrText>
      </w:r>
      <w:r>
        <w:rPr>
          <w:rFonts w:hint="default"/>
          <w:lang w:val="en-US"/>
        </w:rPr>
        <w:fldChar w:fldCharType="separate"/>
      </w:r>
      <w:r>
        <w:rPr>
          <w:rFonts w:hint="eastAsia"/>
          <w:lang w:val="en-US" w:eastAsia="zh-CN"/>
        </w:rPr>
        <w:t>14.1.3统计与分析</w:t>
      </w:r>
      <w:r>
        <w:tab/>
      </w:r>
      <w:r>
        <w:fldChar w:fldCharType="begin"/>
      </w:r>
      <w:r>
        <w:instrText xml:space="preserve"> PAGEREF _Toc19215 </w:instrText>
      </w:r>
      <w:r>
        <w:fldChar w:fldCharType="separate"/>
      </w:r>
      <w:r>
        <w:t>32</w:t>
      </w:r>
      <w:r>
        <w:fldChar w:fldCharType="end"/>
      </w:r>
      <w:r>
        <w:rPr>
          <w:rFonts w:hint="default"/>
          <w:lang w:val="en-US"/>
        </w:rPr>
        <w:fldChar w:fldCharType="end"/>
      </w:r>
    </w:p>
    <w:p>
      <w:pPr>
        <w:pStyle w:val="11"/>
        <w:tabs>
          <w:tab w:val="right" w:leader="dot" w:pos="9354"/>
          <w:tab w:val="clear" w:pos="9241"/>
        </w:tabs>
      </w:pPr>
      <w:r>
        <w:rPr>
          <w:rFonts w:hint="default"/>
          <w:lang w:val="en-US"/>
        </w:rPr>
        <w:fldChar w:fldCharType="begin"/>
      </w:r>
      <w:r>
        <w:rPr>
          <w:rFonts w:hint="default"/>
          <w:lang w:val="en-US"/>
        </w:rPr>
        <w:instrText xml:space="preserve"> HYPERLINK \l _Toc6712 </w:instrText>
      </w:r>
      <w:r>
        <w:rPr>
          <w:rFonts w:hint="default"/>
          <w:lang w:val="en-US"/>
        </w:rPr>
        <w:fldChar w:fldCharType="separate"/>
      </w:r>
      <w:r>
        <w:rPr>
          <w:rFonts w:hint="eastAsia" w:ascii="黑体" w:hAnsi="Times New Roman" w:eastAsia="黑体" w:cs="Times New Roman"/>
          <w:bCs w:val="0"/>
          <w:i w:val="0"/>
          <w:iCs w:val="0"/>
          <w:caps w:val="0"/>
          <w:strike w:val="0"/>
          <w:dstrike w:val="0"/>
          <w:outline w:val="0"/>
          <w:shadow w:val="0"/>
          <w:emboss w:val="0"/>
          <w:imprint w:val="0"/>
          <w:vanish w:val="0"/>
          <w:spacing w:val="0"/>
          <w:kern w:val="0"/>
          <w:position w:val="0"/>
          <w:szCs w:val="21"/>
          <w:vertAlign w:val="baseline"/>
          <w:lang w:val="en-US" w:eastAsia="zh-CN"/>
        </w:rPr>
        <w:t xml:space="preserve">14.2 </w:t>
      </w:r>
      <w:r>
        <w:rPr>
          <w:rFonts w:hint="default"/>
          <w:lang w:val="en-US" w:eastAsia="zh-CN"/>
        </w:rPr>
        <w:t>不符合控制</w:t>
      </w:r>
      <w:r>
        <w:tab/>
      </w:r>
      <w:r>
        <w:fldChar w:fldCharType="begin"/>
      </w:r>
      <w:r>
        <w:instrText xml:space="preserve"> PAGEREF _Toc6712 </w:instrText>
      </w:r>
      <w:r>
        <w:fldChar w:fldCharType="separate"/>
      </w:r>
      <w:r>
        <w:t>32</w:t>
      </w:r>
      <w:r>
        <w:fldChar w:fldCharType="end"/>
      </w:r>
      <w:r>
        <w:rPr>
          <w:rFonts w:hint="default"/>
          <w:lang w:val="en-US"/>
        </w:rPr>
        <w:fldChar w:fldCharType="end"/>
      </w:r>
    </w:p>
    <w:p>
      <w:pPr>
        <w:pStyle w:val="11"/>
        <w:tabs>
          <w:tab w:val="right" w:leader="dot" w:pos="9354"/>
          <w:tab w:val="clear" w:pos="9241"/>
        </w:tabs>
      </w:pPr>
      <w:r>
        <w:rPr>
          <w:rFonts w:hint="default"/>
          <w:lang w:val="en-US"/>
        </w:rPr>
        <w:fldChar w:fldCharType="begin"/>
      </w:r>
      <w:r>
        <w:rPr>
          <w:rFonts w:hint="default"/>
          <w:lang w:val="en-US"/>
        </w:rPr>
        <w:instrText xml:space="preserve"> HYPERLINK \l _Toc15070 </w:instrText>
      </w:r>
      <w:r>
        <w:rPr>
          <w:rFonts w:hint="default"/>
          <w:lang w:val="en-US"/>
        </w:rPr>
        <w:fldChar w:fldCharType="separate"/>
      </w:r>
      <w:r>
        <w:rPr>
          <w:rFonts w:hint="eastAsia" w:ascii="黑体" w:hAnsi="Times New Roman" w:eastAsia="黑体" w:cs="Times New Roman"/>
          <w:bCs w:val="0"/>
          <w:i w:val="0"/>
          <w:iCs w:val="0"/>
          <w:caps w:val="0"/>
          <w:strike w:val="0"/>
          <w:dstrike w:val="0"/>
          <w:outline w:val="0"/>
          <w:shadow w:val="0"/>
          <w:emboss w:val="0"/>
          <w:imprint w:val="0"/>
          <w:vanish w:val="0"/>
          <w:spacing w:val="0"/>
          <w:kern w:val="0"/>
          <w:position w:val="0"/>
          <w:szCs w:val="21"/>
          <w:vertAlign w:val="baseline"/>
          <w:lang w:val="en-US" w:eastAsia="zh-CN"/>
        </w:rPr>
        <w:t xml:space="preserve">14.3 </w:t>
      </w:r>
      <w:r>
        <w:rPr>
          <w:rFonts w:hint="default"/>
          <w:lang w:val="en-US" w:eastAsia="zh-CN"/>
        </w:rPr>
        <w:t>纠正措施</w:t>
      </w:r>
      <w:r>
        <w:tab/>
      </w:r>
      <w:r>
        <w:fldChar w:fldCharType="begin"/>
      </w:r>
      <w:r>
        <w:instrText xml:space="preserve"> PAGEREF _Toc15070 </w:instrText>
      </w:r>
      <w:r>
        <w:fldChar w:fldCharType="separate"/>
      </w:r>
      <w:r>
        <w:t>32</w:t>
      </w:r>
      <w:r>
        <w:fldChar w:fldCharType="end"/>
      </w:r>
      <w:r>
        <w:rPr>
          <w:rFonts w:hint="default"/>
          <w:lang w:val="en-US"/>
        </w:rPr>
        <w:fldChar w:fldCharType="end"/>
      </w:r>
    </w:p>
    <w:p>
      <w:pPr>
        <w:pStyle w:val="11"/>
        <w:tabs>
          <w:tab w:val="right" w:leader="dot" w:pos="9354"/>
          <w:tab w:val="clear" w:pos="9241"/>
        </w:tabs>
      </w:pPr>
      <w:r>
        <w:rPr>
          <w:rFonts w:hint="default"/>
          <w:lang w:val="en-US"/>
        </w:rPr>
        <w:fldChar w:fldCharType="begin"/>
      </w:r>
      <w:r>
        <w:rPr>
          <w:rFonts w:hint="default"/>
          <w:lang w:val="en-US"/>
        </w:rPr>
        <w:instrText xml:space="preserve"> HYPERLINK \l _Toc31675 </w:instrText>
      </w:r>
      <w:r>
        <w:rPr>
          <w:rFonts w:hint="default"/>
          <w:lang w:val="en-US"/>
        </w:rPr>
        <w:fldChar w:fldCharType="separate"/>
      </w:r>
      <w:r>
        <w:rPr>
          <w:rFonts w:hint="eastAsia" w:ascii="黑体" w:hAnsi="Times New Roman" w:eastAsia="黑体" w:cs="Times New Roman"/>
          <w:bCs w:val="0"/>
          <w:i w:val="0"/>
          <w:iCs w:val="0"/>
          <w:caps w:val="0"/>
          <w:strike w:val="0"/>
          <w:dstrike w:val="0"/>
          <w:outline w:val="0"/>
          <w:shadow w:val="0"/>
          <w:emboss w:val="0"/>
          <w:imprint w:val="0"/>
          <w:vanish w:val="0"/>
          <w:spacing w:val="0"/>
          <w:kern w:val="0"/>
          <w:position w:val="0"/>
          <w:szCs w:val="21"/>
          <w:vertAlign w:val="baseline"/>
          <w:lang w:val="en-US" w:eastAsia="zh-CN"/>
        </w:rPr>
        <w:t xml:space="preserve">14.4 </w:t>
      </w:r>
      <w:r>
        <w:rPr>
          <w:rFonts w:hint="default"/>
          <w:lang w:val="en-US" w:eastAsia="zh-CN"/>
        </w:rPr>
        <w:t>持续改进</w:t>
      </w:r>
      <w:r>
        <w:tab/>
      </w:r>
      <w:r>
        <w:fldChar w:fldCharType="begin"/>
      </w:r>
      <w:r>
        <w:instrText xml:space="preserve"> PAGEREF _Toc31675 </w:instrText>
      </w:r>
      <w:r>
        <w:fldChar w:fldCharType="separate"/>
      </w:r>
      <w:r>
        <w:t>33</w:t>
      </w:r>
      <w:r>
        <w:fldChar w:fldCharType="end"/>
      </w:r>
      <w:r>
        <w:rPr>
          <w:rFonts w:hint="default"/>
          <w:lang w:val="en-US"/>
        </w:rPr>
        <w:fldChar w:fldCharType="end"/>
      </w:r>
    </w:p>
    <w:p>
      <w:pPr>
        <w:pStyle w:val="17"/>
        <w:tabs>
          <w:tab w:val="right" w:leader="dot" w:pos="9354"/>
          <w:tab w:val="clear" w:pos="9242"/>
        </w:tabs>
      </w:pPr>
      <w:r>
        <w:rPr>
          <w:rFonts w:hint="default"/>
          <w:lang w:val="en-US"/>
        </w:rPr>
        <w:fldChar w:fldCharType="begin"/>
      </w:r>
      <w:r>
        <w:rPr>
          <w:rFonts w:hint="default"/>
          <w:lang w:val="en-US"/>
        </w:rPr>
        <w:instrText xml:space="preserve"> HYPERLINK \l _Toc4963 </w:instrText>
      </w:r>
      <w:r>
        <w:rPr>
          <w:rFonts w:hint="default"/>
          <w:lang w:val="en-US"/>
        </w:rPr>
        <w:fldChar w:fldCharType="separate"/>
      </w:r>
      <w:r>
        <w:rPr>
          <w:rFonts w:hint="eastAsia"/>
          <w:szCs w:val="22"/>
          <w:lang w:val="en-US" w:eastAsia="zh-CN"/>
        </w:rPr>
        <w:t>附录A 参考文献</w:t>
      </w:r>
      <w:r>
        <w:tab/>
      </w:r>
      <w:r>
        <w:fldChar w:fldCharType="begin"/>
      </w:r>
      <w:r>
        <w:instrText xml:space="preserve"> PAGEREF _Toc4963 </w:instrText>
      </w:r>
      <w:r>
        <w:fldChar w:fldCharType="separate"/>
      </w:r>
      <w:r>
        <w:t>34</w:t>
      </w:r>
      <w:r>
        <w:fldChar w:fldCharType="end"/>
      </w:r>
      <w:r>
        <w:rPr>
          <w:rFonts w:hint="default"/>
          <w:lang w:val="en-US"/>
        </w:rPr>
        <w:fldChar w:fldCharType="end"/>
      </w:r>
    </w:p>
    <w:p>
      <w:pPr>
        <w:pStyle w:val="21"/>
        <w:rPr>
          <w:rFonts w:hint="default"/>
          <w:lang w:val="en-US"/>
        </w:rPr>
      </w:pPr>
      <w:r>
        <w:rPr>
          <w:rFonts w:hint="default"/>
          <w:lang w:val="en-US"/>
        </w:rPr>
        <w:fldChar w:fldCharType="end"/>
      </w:r>
    </w:p>
    <w:p>
      <w:pPr>
        <w:pStyle w:val="88"/>
        <w:rPr>
          <w:rFonts w:hint="eastAsia"/>
        </w:rPr>
      </w:pPr>
      <w:bookmarkStart w:id="8" w:name="_Toc20710"/>
      <w:bookmarkStart w:id="9" w:name="_Toc531104067"/>
      <w:bookmarkStart w:id="10" w:name="_Toc28870"/>
      <w:r>
        <w:rPr>
          <w:rFonts w:hint="eastAsia"/>
        </w:rPr>
        <w:t>前</w:t>
      </w:r>
      <w:bookmarkStart w:id="11" w:name="BKQY"/>
      <w:r>
        <w:rPr>
          <w:rFonts w:hAnsi="黑体"/>
        </w:rPr>
        <w:t>  </w:t>
      </w:r>
      <w:r>
        <w:rPr>
          <w:rFonts w:hint="eastAsia"/>
        </w:rPr>
        <w:t>言</w:t>
      </w:r>
      <w:bookmarkEnd w:id="2"/>
      <w:bookmarkEnd w:id="3"/>
      <w:bookmarkEnd w:id="4"/>
      <w:bookmarkEnd w:id="5"/>
      <w:bookmarkEnd w:id="6"/>
      <w:bookmarkEnd w:id="8"/>
      <w:bookmarkEnd w:id="9"/>
      <w:bookmarkEnd w:id="10"/>
      <w:bookmarkEnd w:id="11"/>
    </w:p>
    <w:p>
      <w:pPr>
        <w:pStyle w:val="21"/>
        <w:rPr>
          <w:rFonts w:hint="eastAsia"/>
        </w:rPr>
      </w:pPr>
      <w:r>
        <w:rPr>
          <w:rFonts w:hint="eastAsia"/>
        </w:rPr>
        <w:t>本</w:t>
      </w:r>
      <w:r>
        <w:rPr>
          <w:rFonts w:hint="eastAsia"/>
          <w:lang w:val="en-US" w:eastAsia="zh-CN"/>
        </w:rPr>
        <w:t>文件</w:t>
      </w:r>
      <w:r>
        <w:rPr>
          <w:rFonts w:hint="eastAsia"/>
        </w:rPr>
        <w:t>按照GB/T 1.1-20</w:t>
      </w:r>
      <w:r>
        <w:rPr>
          <w:rFonts w:hint="eastAsia"/>
          <w:lang w:val="en-US" w:eastAsia="zh-CN"/>
        </w:rPr>
        <w:t>20</w:t>
      </w:r>
      <w:r>
        <w:rPr>
          <w:rFonts w:hint="eastAsia"/>
        </w:rPr>
        <w:t xml:space="preserve"> 《标准化工作导则 第1部分：标准</w:t>
      </w:r>
      <w:r>
        <w:rPr>
          <w:rFonts w:hint="eastAsia"/>
          <w:lang w:val="en-US" w:eastAsia="zh-CN"/>
        </w:rPr>
        <w:t>化文件</w:t>
      </w:r>
      <w:r>
        <w:rPr>
          <w:rFonts w:hint="eastAsia"/>
        </w:rPr>
        <w:t>的结构和</w:t>
      </w:r>
      <w:r>
        <w:rPr>
          <w:rFonts w:hint="eastAsia"/>
          <w:lang w:val="en-US" w:eastAsia="zh-CN"/>
        </w:rPr>
        <w:t>起草规则</w:t>
      </w:r>
      <w:r>
        <w:rPr>
          <w:rFonts w:hint="eastAsia"/>
        </w:rPr>
        <w:t>》</w:t>
      </w:r>
      <w:r>
        <w:rPr>
          <w:rFonts w:hint="eastAsia"/>
          <w:lang w:val="en-US" w:eastAsia="zh-CN"/>
        </w:rPr>
        <w:t>的规定</w:t>
      </w:r>
      <w:r>
        <w:rPr>
          <w:rFonts w:hint="eastAsia"/>
        </w:rPr>
        <w:t>起草。</w:t>
      </w:r>
    </w:p>
    <w:p>
      <w:pPr>
        <w:pStyle w:val="21"/>
        <w:rPr>
          <w:rFonts w:hint="eastAsia"/>
          <w:color w:val="auto"/>
        </w:rPr>
      </w:pPr>
      <w:r>
        <w:rPr>
          <w:rFonts w:hint="eastAsia" w:ascii="宋体" w:hAnsi="宋体" w:cs="ËÎÌå"/>
          <w:color w:val="auto"/>
          <w:kern w:val="0"/>
          <w:szCs w:val="21"/>
          <w:lang w:eastAsia="zh-CN"/>
        </w:rPr>
        <w:t>请注意</w:t>
      </w:r>
      <w:r>
        <w:rPr>
          <w:rFonts w:hint="eastAsia" w:ascii="宋体" w:hAnsi="宋体" w:cs="ËÎÌå"/>
          <w:color w:val="auto"/>
          <w:kern w:val="0"/>
          <w:szCs w:val="21"/>
        </w:rPr>
        <w:t>本文件的某些内容可能涉及专利。本文件的发布机构不承担识别专利的责任。</w:t>
      </w:r>
    </w:p>
    <w:p>
      <w:pPr>
        <w:autoSpaceDE w:val="0"/>
        <w:autoSpaceDN w:val="0"/>
        <w:adjustRightInd w:val="0"/>
        <w:ind w:firstLine="420" w:firstLineChars="200"/>
        <w:rPr>
          <w:rFonts w:ascii="宋体" w:hAnsi="宋体" w:cs="宋体"/>
          <w:color w:val="auto"/>
          <w:kern w:val="0"/>
          <w:szCs w:val="21"/>
        </w:rPr>
      </w:pPr>
      <w:r>
        <w:rPr>
          <w:rFonts w:hint="eastAsia" w:ascii="宋体" w:hAnsi="宋体" w:cs="宋体"/>
          <w:color w:val="auto"/>
          <w:kern w:val="0"/>
          <w:szCs w:val="21"/>
        </w:rPr>
        <w:t>本文件由</w:t>
      </w:r>
      <w:r>
        <w:rPr>
          <w:rFonts w:hint="eastAsia"/>
          <w:highlight w:val="none"/>
          <w:lang w:val="en-US" w:eastAsia="zh-CN"/>
        </w:rPr>
        <w:t>广东元韬企业管理咨询有限公司</w:t>
      </w:r>
      <w:r>
        <w:rPr>
          <w:rFonts w:hint="eastAsia" w:ascii="宋体" w:hAnsi="宋体" w:cs="宋体"/>
          <w:color w:val="auto"/>
          <w:kern w:val="0"/>
          <w:szCs w:val="21"/>
        </w:rPr>
        <w:t>提出。</w:t>
      </w:r>
    </w:p>
    <w:p>
      <w:pPr>
        <w:pStyle w:val="21"/>
        <w:rPr>
          <w:rFonts w:hint="eastAsia"/>
        </w:rPr>
      </w:pPr>
      <w:r>
        <w:rPr>
          <w:rFonts w:hint="eastAsia"/>
        </w:rPr>
        <w:t>本</w:t>
      </w:r>
      <w:r>
        <w:rPr>
          <w:rFonts w:hint="eastAsia"/>
          <w:lang w:val="en-US" w:eastAsia="zh-CN"/>
        </w:rPr>
        <w:t>文件</w:t>
      </w:r>
      <w:r>
        <w:rPr>
          <w:rFonts w:hint="eastAsia"/>
        </w:rPr>
        <w:t>由</w:t>
      </w:r>
      <w:r>
        <w:rPr>
          <w:rFonts w:hint="eastAsia"/>
          <w:lang w:val="en-US" w:eastAsia="zh-CN"/>
        </w:rPr>
        <w:t>广东省企业管理咨询协</w:t>
      </w:r>
      <w:r>
        <w:rPr>
          <w:rFonts w:hint="eastAsia"/>
        </w:rPr>
        <w:t>会</w:t>
      </w:r>
      <w:r>
        <w:rPr>
          <w:rFonts w:hint="eastAsia" w:ascii="宋体" w:hAnsi="宋体" w:cs="宋体"/>
          <w:color w:val="auto"/>
          <w:kern w:val="0"/>
          <w:szCs w:val="21"/>
        </w:rPr>
        <w:t>归口</w:t>
      </w:r>
      <w:r>
        <w:rPr>
          <w:rFonts w:hint="eastAsia"/>
        </w:rPr>
        <w:t>。</w:t>
      </w:r>
    </w:p>
    <w:p>
      <w:pPr>
        <w:pStyle w:val="21"/>
        <w:rPr>
          <w:rFonts w:hint="default"/>
          <w:highlight w:val="none"/>
          <w:lang w:val="en-US"/>
        </w:rPr>
      </w:pPr>
      <w:r>
        <w:rPr>
          <w:rFonts w:hint="eastAsia"/>
          <w:highlight w:val="none"/>
        </w:rPr>
        <w:t>本</w:t>
      </w:r>
      <w:r>
        <w:rPr>
          <w:rFonts w:hint="eastAsia"/>
          <w:highlight w:val="none"/>
          <w:lang w:val="en-US" w:eastAsia="zh-CN"/>
        </w:rPr>
        <w:t>文件</w:t>
      </w:r>
      <w:r>
        <w:rPr>
          <w:rFonts w:hint="eastAsia"/>
          <w:highlight w:val="none"/>
        </w:rPr>
        <w:t>起草</w:t>
      </w:r>
      <w:r>
        <w:rPr>
          <w:rFonts w:hint="eastAsia"/>
          <w:highlight w:val="none"/>
          <w:lang w:val="en-US" w:eastAsia="zh-CN"/>
        </w:rPr>
        <w:t>单位</w:t>
      </w:r>
      <w:r>
        <w:rPr>
          <w:rFonts w:hint="eastAsia"/>
          <w:highlight w:val="none"/>
        </w:rPr>
        <w:t>：</w:t>
      </w:r>
      <w:r>
        <w:rPr>
          <w:rFonts w:hint="eastAsia"/>
          <w:highlight w:val="none"/>
          <w:lang w:val="en-US" w:eastAsia="zh-CN"/>
        </w:rPr>
        <w:t>广东元韬企业管理咨询有限公司、广州策佳企业管理咨询有限公司、中科国际认证（广东）有限公司、中国安能集团第一工程局、广州市建鋐建筑技术咨询有限公司</w:t>
      </w:r>
    </w:p>
    <w:p>
      <w:pPr>
        <w:pStyle w:val="21"/>
        <w:rPr>
          <w:rFonts w:hint="default"/>
          <w:highlight w:val="none"/>
          <w:lang w:val="en-US" w:eastAsia="zh-CN"/>
        </w:rPr>
      </w:pPr>
      <w:r>
        <w:rPr>
          <w:rFonts w:hint="eastAsia"/>
          <w:highlight w:val="none"/>
        </w:rPr>
        <w:t>本</w:t>
      </w:r>
      <w:r>
        <w:rPr>
          <w:rFonts w:hint="eastAsia"/>
          <w:highlight w:val="none"/>
          <w:lang w:val="en-US" w:eastAsia="zh-CN"/>
        </w:rPr>
        <w:t>文件</w:t>
      </w:r>
      <w:r>
        <w:rPr>
          <w:rFonts w:hint="eastAsia"/>
          <w:highlight w:val="none"/>
        </w:rPr>
        <w:t>主要起草人：</w:t>
      </w:r>
      <w:r>
        <w:rPr>
          <w:rFonts w:hint="eastAsia"/>
          <w:highlight w:val="none"/>
          <w:lang w:val="en-US" w:eastAsia="zh-CN"/>
        </w:rPr>
        <w:t>黄涛、陈勇达、</w:t>
      </w:r>
      <w:r>
        <w:rPr>
          <w:rFonts w:hint="eastAsia"/>
          <w:highlight w:val="none"/>
        </w:rPr>
        <w:t>熊德甫、郑爱惜、龙建新、詹博</w:t>
      </w:r>
      <w:r>
        <w:rPr>
          <w:rFonts w:hint="eastAsia"/>
          <w:highlight w:val="none"/>
          <w:lang w:eastAsia="zh-CN"/>
        </w:rPr>
        <w:t>、</w:t>
      </w:r>
      <w:r>
        <w:rPr>
          <w:rFonts w:hint="eastAsia"/>
          <w:highlight w:val="none"/>
          <w:lang w:val="en-US" w:eastAsia="zh-CN"/>
        </w:rPr>
        <w:t>刘浩然、周毅、郑源、皇甫学真、张明辉、黄中广、曾建军、赵玉鄂、马建军</w:t>
      </w:r>
    </w:p>
    <w:p>
      <w:pPr>
        <w:autoSpaceDE w:val="0"/>
        <w:autoSpaceDN w:val="0"/>
        <w:adjustRightInd w:val="0"/>
        <w:ind w:firstLine="420" w:firstLineChars="200"/>
        <w:jc w:val="left"/>
        <w:rPr>
          <w:rFonts w:hint="eastAsia"/>
        </w:rPr>
      </w:pPr>
      <w:r>
        <w:rPr>
          <w:rFonts w:hint="eastAsia"/>
        </w:rPr>
        <w:t>本</w:t>
      </w:r>
      <w:r>
        <w:rPr>
          <w:rFonts w:hint="eastAsia"/>
          <w:lang w:val="en-US" w:eastAsia="zh-CN"/>
        </w:rPr>
        <w:t>文件</w:t>
      </w:r>
      <w:r>
        <w:rPr>
          <w:rFonts w:hint="eastAsia"/>
        </w:rPr>
        <w:t>为首次发布。</w:t>
      </w:r>
    </w:p>
    <w:p>
      <w:pPr>
        <w:pStyle w:val="21"/>
        <w:rPr>
          <w:rFonts w:hint="eastAsia"/>
        </w:rPr>
      </w:pPr>
    </w:p>
    <w:p>
      <w:pPr>
        <w:pStyle w:val="21"/>
        <w:rPr>
          <w:rFonts w:hint="default"/>
          <w:lang w:val="en-US" w:eastAsia="zh-CN"/>
        </w:rPr>
      </w:pPr>
    </w:p>
    <w:p>
      <w:pPr>
        <w:pStyle w:val="88"/>
        <w:rPr>
          <w:rFonts w:hint="eastAsia"/>
        </w:rPr>
      </w:pPr>
      <w:bookmarkStart w:id="12" w:name="_Toc26911"/>
      <w:r>
        <w:rPr>
          <w:rFonts w:hint="eastAsia"/>
          <w:lang w:val="en-US" w:eastAsia="zh-CN"/>
        </w:rPr>
        <w:t>引</w:t>
      </w:r>
      <w:r>
        <w:rPr>
          <w:rFonts w:hAnsi="黑体"/>
        </w:rPr>
        <w:t>  </w:t>
      </w:r>
      <w:r>
        <w:rPr>
          <w:rFonts w:hint="eastAsia"/>
        </w:rPr>
        <w:t>言</w:t>
      </w:r>
      <w:bookmarkEnd w:id="12"/>
    </w:p>
    <w:p>
      <w:pPr>
        <w:autoSpaceDE w:val="0"/>
        <w:autoSpaceDN w:val="0"/>
        <w:adjustRightInd w:val="0"/>
        <w:ind w:firstLine="420" w:firstLineChars="200"/>
        <w:jc w:val="left"/>
        <w:rPr>
          <w:rFonts w:hint="eastAsia"/>
          <w:lang w:val="en-US" w:eastAsia="zh-CN"/>
        </w:rPr>
      </w:pPr>
      <w:r>
        <w:rPr>
          <w:rFonts w:hint="eastAsia"/>
          <w:lang w:val="en-US" w:eastAsia="zh-CN"/>
        </w:rPr>
        <w:t>国家越来越重视安全生产工作，在国家安全发展战略的一系列重大举措下，将“安全发展”理念纳入“新发展理念”范畴，与创新、协调、开放、绿色、共享并列，贯穿经济和社会发展的各环节各领域，成为中国经济社会发展的新品牌。</w:t>
      </w:r>
    </w:p>
    <w:p>
      <w:pPr>
        <w:autoSpaceDE w:val="0"/>
        <w:autoSpaceDN w:val="0"/>
        <w:adjustRightInd w:val="0"/>
        <w:ind w:firstLine="420" w:firstLineChars="200"/>
        <w:jc w:val="left"/>
        <w:rPr>
          <w:rFonts w:hint="eastAsia"/>
          <w:lang w:val="en-US" w:eastAsia="zh-CN"/>
        </w:rPr>
      </w:pPr>
      <w:r>
        <w:rPr>
          <w:rFonts w:hint="eastAsia"/>
        </w:rPr>
        <w:t>在安全生产领域，国家专门制定了一系列安全生产相关</w:t>
      </w:r>
      <w:r>
        <w:rPr>
          <w:rFonts w:hint="eastAsia"/>
          <w:lang w:val="en-US" w:eastAsia="zh-CN"/>
        </w:rPr>
        <w:t>法律法规，随着安全生产法的修订，首次将构建安全风险分级管控和隐患排查治理双重预防体系纳入到国家法律法规层面。</w:t>
      </w:r>
    </w:p>
    <w:p>
      <w:pPr>
        <w:autoSpaceDE w:val="0"/>
        <w:autoSpaceDN w:val="0"/>
        <w:adjustRightInd w:val="0"/>
        <w:ind w:firstLine="420" w:firstLineChars="200"/>
        <w:jc w:val="left"/>
        <w:rPr>
          <w:rFonts w:hint="eastAsia" w:eastAsia="宋体"/>
          <w:lang w:val="en-US" w:eastAsia="zh-CN"/>
        </w:rPr>
      </w:pPr>
      <w:r>
        <w:rPr>
          <w:rFonts w:hint="eastAsia"/>
          <w:lang w:val="en-US" w:eastAsia="zh-CN"/>
        </w:rPr>
        <w:t>为了契合安全风险分级管控和隐患排查治理双重预防体系的要求，结合企业安全生产工作需要，本标准在基于法律法规</w:t>
      </w:r>
      <w:r>
        <w:rPr>
          <w:rFonts w:hint="eastAsia"/>
          <w:lang w:eastAsia="zh-CN"/>
        </w:rPr>
        <w:t>、</w:t>
      </w:r>
      <w:r>
        <w:rPr>
          <w:rFonts w:hint="eastAsia"/>
          <w:lang w:val="en-US" w:eastAsia="zh-CN"/>
        </w:rPr>
        <w:t>政策及技术背景的前提下，为企业的</w:t>
      </w:r>
      <w:r>
        <w:rPr>
          <w:rFonts w:hint="eastAsia"/>
        </w:rPr>
        <w:t>安全管理提供</w:t>
      </w:r>
      <w:r>
        <w:rPr>
          <w:rFonts w:hint="eastAsia"/>
          <w:lang w:val="en-US" w:eastAsia="zh-CN"/>
        </w:rPr>
        <w:t>一套全面的、规范的</w:t>
      </w:r>
      <w:r>
        <w:rPr>
          <w:rFonts w:hint="eastAsia"/>
        </w:rPr>
        <w:t>框架</w:t>
      </w:r>
      <w:r>
        <w:rPr>
          <w:rFonts w:hint="eastAsia"/>
          <w:lang w:eastAsia="zh-CN"/>
        </w:rPr>
        <w:t>，</w:t>
      </w:r>
      <w:r>
        <w:rPr>
          <w:rFonts w:hint="eastAsia"/>
        </w:rPr>
        <w:t>旨在使企业能够提供安全和健康的工作环境，预防与工作有关的伤害和健康损害</w:t>
      </w:r>
      <w:r>
        <w:rPr>
          <w:rFonts w:hint="eastAsia"/>
          <w:lang w:eastAsia="zh-CN"/>
        </w:rPr>
        <w:t>、</w:t>
      </w:r>
      <w:r>
        <w:rPr>
          <w:rFonts w:hint="eastAsia"/>
        </w:rPr>
        <w:t>环境污染</w:t>
      </w:r>
      <w:r>
        <w:rPr>
          <w:rFonts w:hint="eastAsia"/>
          <w:lang w:val="en-US" w:eastAsia="zh-CN"/>
        </w:rPr>
        <w:t>等</w:t>
      </w:r>
      <w:r>
        <w:rPr>
          <w:rFonts w:hint="eastAsia"/>
        </w:rPr>
        <w:t>，帮助企业满足合规义务，起到合规申明的作用</w:t>
      </w:r>
      <w:r>
        <w:rPr>
          <w:rFonts w:hint="eastAsia"/>
          <w:lang w:eastAsia="zh-CN"/>
        </w:rPr>
        <w:t>，</w:t>
      </w:r>
      <w:r>
        <w:rPr>
          <w:rFonts w:hint="eastAsia"/>
        </w:rPr>
        <w:t>并持续改进其安全管理绩效。</w:t>
      </w:r>
    </w:p>
    <w:p>
      <w:pPr>
        <w:autoSpaceDE w:val="0"/>
        <w:autoSpaceDN w:val="0"/>
        <w:adjustRightInd w:val="0"/>
        <w:ind w:firstLine="420" w:firstLineChars="200"/>
        <w:jc w:val="left"/>
        <w:rPr>
          <w:rFonts w:hint="eastAsia"/>
        </w:rPr>
      </w:pPr>
      <w:r>
        <w:rPr>
          <w:rFonts w:hint="eastAsia"/>
        </w:rPr>
        <w:t>实施</w:t>
      </w:r>
      <w:r>
        <w:rPr>
          <w:rFonts w:hint="eastAsia"/>
          <w:lang w:val="en-US" w:eastAsia="zh-CN"/>
        </w:rPr>
        <w:t>本标准</w:t>
      </w:r>
      <w:r>
        <w:rPr>
          <w:rFonts w:hint="eastAsia"/>
        </w:rPr>
        <w:t>是企业的战略和经营决策</w:t>
      </w:r>
      <w:r>
        <w:rPr>
          <w:rFonts w:hint="eastAsia"/>
          <w:lang w:eastAsia="zh-CN"/>
        </w:rPr>
        <w:t>，</w:t>
      </w:r>
      <w:r>
        <w:rPr>
          <w:rFonts w:hint="eastAsia"/>
          <w:lang w:val="en-US" w:eastAsia="zh-CN"/>
        </w:rPr>
        <w:t>属自愿性行为</w:t>
      </w:r>
      <w:r>
        <w:rPr>
          <w:rFonts w:hint="eastAsia"/>
        </w:rPr>
        <w:t>。</w:t>
      </w:r>
    </w:p>
    <w:p>
      <w:pPr>
        <w:autoSpaceDE w:val="0"/>
        <w:autoSpaceDN w:val="0"/>
        <w:adjustRightInd w:val="0"/>
        <w:ind w:firstLine="420" w:firstLineChars="200"/>
        <w:jc w:val="left"/>
        <w:rPr>
          <w:rFonts w:hint="eastAsia"/>
        </w:rPr>
      </w:pPr>
      <w:r>
        <w:rPr>
          <w:rFonts w:hint="eastAsia"/>
        </w:rPr>
        <w:t>本标准包含了企业可用于实施安全与风险综合管理体系和符合性评价的要求。</w:t>
      </w:r>
    </w:p>
    <w:p>
      <w:pPr>
        <w:autoSpaceDE w:val="0"/>
        <w:autoSpaceDN w:val="0"/>
        <w:adjustRightInd w:val="0"/>
        <w:ind w:firstLine="420" w:firstLineChars="200"/>
        <w:jc w:val="left"/>
      </w:pPr>
      <w:r>
        <w:rPr>
          <w:rFonts w:hint="eastAsia"/>
        </w:rPr>
        <w:t>企业如果要证实符合本标准，可以采用以下方式：</w:t>
      </w:r>
    </w:p>
    <w:p>
      <w:pPr>
        <w:autoSpaceDE w:val="0"/>
        <w:autoSpaceDN w:val="0"/>
        <w:adjustRightInd w:val="0"/>
        <w:ind w:firstLine="420" w:firstLineChars="200"/>
        <w:jc w:val="left"/>
      </w:pPr>
      <w:r>
        <w:rPr>
          <w:rFonts w:hint="eastAsia"/>
        </w:rPr>
        <w:t>——进行自我决定和自我声明；</w:t>
      </w:r>
    </w:p>
    <w:p>
      <w:pPr>
        <w:autoSpaceDE w:val="0"/>
        <w:autoSpaceDN w:val="0"/>
        <w:adjustRightInd w:val="0"/>
        <w:ind w:firstLine="420" w:firstLineChars="200"/>
        <w:jc w:val="left"/>
      </w:pPr>
      <w:r>
        <w:rPr>
          <w:rFonts w:hint="eastAsia"/>
        </w:rPr>
        <w:t>——寻求对企业有兴趣的相关方对其符合性进行确认，例如：顾客；</w:t>
      </w:r>
    </w:p>
    <w:p>
      <w:pPr>
        <w:autoSpaceDE w:val="0"/>
        <w:autoSpaceDN w:val="0"/>
        <w:adjustRightInd w:val="0"/>
        <w:ind w:firstLine="420" w:firstLineChars="200"/>
        <w:jc w:val="left"/>
      </w:pPr>
      <w:r>
        <w:rPr>
          <w:rFonts w:hint="eastAsia"/>
        </w:rPr>
        <w:t>——寻求企业的外部机构对其自我声明进行确认；</w:t>
      </w:r>
    </w:p>
    <w:p>
      <w:pPr>
        <w:autoSpaceDE w:val="0"/>
        <w:autoSpaceDN w:val="0"/>
        <w:adjustRightInd w:val="0"/>
        <w:ind w:firstLine="420" w:firstLineChars="200"/>
        <w:jc w:val="left"/>
      </w:pPr>
      <w:r>
        <w:rPr>
          <w:rFonts w:hint="eastAsia"/>
        </w:rPr>
        <w:t>——寻求外部企业对其安全与风险综合管理体系进行评审或注册。</w:t>
      </w:r>
    </w:p>
    <w:p>
      <w:pPr>
        <w:autoSpaceDE w:val="0"/>
        <w:autoSpaceDN w:val="0"/>
        <w:adjustRightInd w:val="0"/>
        <w:ind w:firstLine="420" w:firstLineChars="200"/>
        <w:jc w:val="left"/>
      </w:pPr>
      <w:r>
        <w:rPr>
          <w:rFonts w:hint="eastAsia"/>
        </w:rPr>
        <w:t>本标准使用以下助动词：</w:t>
      </w:r>
    </w:p>
    <w:p>
      <w:pPr>
        <w:autoSpaceDE w:val="0"/>
        <w:autoSpaceDN w:val="0"/>
        <w:adjustRightInd w:val="0"/>
        <w:ind w:firstLine="420" w:firstLineChars="200"/>
        <w:jc w:val="left"/>
      </w:pPr>
      <w:r>
        <w:rPr>
          <w:rFonts w:hint="eastAsia"/>
        </w:rPr>
        <w:t>——“应”</w:t>
      </w:r>
      <w:r>
        <w:rPr>
          <w:rFonts w:hint="eastAsia"/>
          <w:lang w:val="en-US" w:eastAsia="zh-CN"/>
        </w:rPr>
        <w:t>表</w:t>
      </w:r>
      <w:r>
        <w:rPr>
          <w:rFonts w:hint="eastAsia"/>
        </w:rPr>
        <w:t>示要求；</w:t>
      </w:r>
    </w:p>
    <w:p>
      <w:pPr>
        <w:autoSpaceDE w:val="0"/>
        <w:autoSpaceDN w:val="0"/>
        <w:adjustRightInd w:val="0"/>
        <w:ind w:firstLine="420" w:firstLineChars="200"/>
        <w:jc w:val="left"/>
      </w:pPr>
      <w:r>
        <w:rPr>
          <w:rFonts w:hint="eastAsia"/>
        </w:rPr>
        <w:t>——“宜”表示建议；</w:t>
      </w:r>
    </w:p>
    <w:p>
      <w:pPr>
        <w:autoSpaceDE w:val="0"/>
        <w:autoSpaceDN w:val="0"/>
        <w:adjustRightInd w:val="0"/>
        <w:ind w:firstLine="420" w:firstLineChars="200"/>
        <w:jc w:val="left"/>
        <w:rPr>
          <w:rFonts w:hint="eastAsia"/>
        </w:rPr>
      </w:pPr>
      <w:r>
        <w:rPr>
          <w:rFonts w:hint="eastAsia"/>
        </w:rPr>
        <w:t>——“可”表示允许；</w:t>
      </w:r>
    </w:p>
    <w:p>
      <w:pPr>
        <w:autoSpaceDE w:val="0"/>
        <w:autoSpaceDN w:val="0"/>
        <w:adjustRightInd w:val="0"/>
        <w:ind w:firstLine="420" w:firstLineChars="200"/>
        <w:jc w:val="left"/>
        <w:rPr>
          <w:rFonts w:hint="eastAsia"/>
        </w:rPr>
      </w:pPr>
      <w:r>
        <w:rPr>
          <w:rFonts w:hint="eastAsia"/>
        </w:rPr>
        <w:t>——“能”表示可能或能够。</w:t>
      </w:r>
    </w:p>
    <w:p>
      <w:pPr>
        <w:autoSpaceDE w:val="0"/>
        <w:autoSpaceDN w:val="0"/>
        <w:adjustRightInd w:val="0"/>
        <w:ind w:firstLine="420" w:firstLineChars="200"/>
        <w:jc w:val="left"/>
        <w:rPr>
          <w:rFonts w:hint="default"/>
          <w:lang w:val="en-US" w:eastAsia="zh-CN"/>
        </w:rPr>
      </w:pPr>
    </w:p>
    <w:p>
      <w:pPr>
        <w:autoSpaceDE w:val="0"/>
        <w:autoSpaceDN w:val="0"/>
        <w:adjustRightInd w:val="0"/>
        <w:ind w:firstLine="420" w:firstLineChars="200"/>
        <w:jc w:val="left"/>
        <w:rPr>
          <w:rFonts w:hint="eastAsia"/>
          <w:lang w:val="en-US" w:eastAsia="zh-CN"/>
        </w:rPr>
      </w:pPr>
    </w:p>
    <w:p>
      <w:pPr>
        <w:pStyle w:val="96"/>
        <w:jc w:val="both"/>
        <w:rPr>
          <w:rFonts w:hint="eastAsia"/>
          <w:lang w:val="en-US" w:eastAsia="zh-CN"/>
        </w:rPr>
        <w:sectPr>
          <w:headerReference r:id="rId5" w:type="default"/>
          <w:footerReference r:id="rId6" w:type="default"/>
          <w:pgSz w:w="11906" w:h="16838"/>
          <w:pgMar w:top="567" w:right="1134" w:bottom="1134" w:left="1418" w:header="1418" w:footer="1134" w:gutter="0"/>
          <w:pgNumType w:fmt="upperRoman" w:start="1"/>
          <w:cols w:space="720" w:num="1"/>
          <w:formProt w:val="0"/>
          <w:docGrid w:type="lines" w:linePitch="312" w:charSpace="0"/>
        </w:sectPr>
      </w:pPr>
    </w:p>
    <w:p>
      <w:pPr>
        <w:pStyle w:val="96"/>
        <w:rPr>
          <w:rFonts w:hint="default" w:eastAsia="黑体"/>
          <w:lang w:val="en-US" w:eastAsia="zh-CN"/>
        </w:rPr>
      </w:pPr>
      <w:r>
        <w:rPr>
          <w:rFonts w:hint="eastAsia"/>
          <w:lang w:val="en-US" w:eastAsia="zh-CN"/>
        </w:rPr>
        <w:t>安全与风险综合管理体系</w:t>
      </w:r>
    </w:p>
    <w:p>
      <w:pPr>
        <w:pStyle w:val="94"/>
        <w:rPr>
          <w:rFonts w:hint="eastAsia"/>
        </w:rPr>
      </w:pPr>
      <w:bookmarkStart w:id="13" w:name="_Toc4267"/>
      <w:bookmarkStart w:id="14" w:name="_Toc17495"/>
      <w:bookmarkStart w:id="15" w:name="_Toc15448"/>
      <w:r>
        <w:rPr>
          <w:rFonts w:hint="eastAsia"/>
        </w:rPr>
        <w:t>范围</w:t>
      </w:r>
      <w:bookmarkEnd w:id="13"/>
      <w:bookmarkEnd w:id="14"/>
      <w:bookmarkEnd w:id="15"/>
    </w:p>
    <w:p>
      <w:pPr>
        <w:pStyle w:val="21"/>
      </w:pPr>
      <w:r>
        <w:rPr>
          <w:rFonts w:hint="eastAsia"/>
        </w:rPr>
        <w:t>本标准规定了安全与风险综合管理体系的要求，使企业能够通过系统性的管理方法建立风险分级管控和隐患排查治理双重预防</w:t>
      </w:r>
      <w:r>
        <w:rPr>
          <w:rFonts w:hint="eastAsia"/>
          <w:lang w:val="en-US" w:eastAsia="zh-CN"/>
        </w:rPr>
        <w:t>体系</w:t>
      </w:r>
      <w:r>
        <w:rPr>
          <w:rFonts w:hint="eastAsia"/>
        </w:rPr>
        <w:t>，防止与工作相关的伤害和健康损害，主动改进安全管理绩效并提供安全和健康的工作环境。</w:t>
      </w:r>
    </w:p>
    <w:p>
      <w:pPr>
        <w:pStyle w:val="21"/>
      </w:pPr>
      <w:r>
        <w:rPr>
          <w:rFonts w:hint="eastAsia"/>
        </w:rPr>
        <w:t>本标准适用于任何具有以下愿望的企业：通过建立、实施和保持安全与风险综合管理体系，以分级管控与安全有关的风险，排查治理隐患，系统实现安全管理绩效。</w:t>
      </w:r>
    </w:p>
    <w:p>
      <w:pPr>
        <w:pStyle w:val="21"/>
      </w:pPr>
      <w:r>
        <w:rPr>
          <w:rFonts w:hint="eastAsia"/>
        </w:rPr>
        <w:t>本标准有助于企业实现其安全与风险综合管理体系的预期结果，包括：</w:t>
      </w:r>
    </w:p>
    <w:p>
      <w:pPr>
        <w:pStyle w:val="21"/>
        <w:numPr>
          <w:ilvl w:val="0"/>
          <w:numId w:val="18"/>
        </w:numPr>
      </w:pPr>
      <w:r>
        <w:rPr>
          <w:rFonts w:hint="eastAsia"/>
        </w:rPr>
        <w:t>满足合规义务；</w:t>
      </w:r>
    </w:p>
    <w:p>
      <w:pPr>
        <w:pStyle w:val="21"/>
        <w:numPr>
          <w:ilvl w:val="0"/>
          <w:numId w:val="18"/>
        </w:numPr>
      </w:pPr>
      <w:r>
        <w:rPr>
          <w:rFonts w:hint="eastAsia"/>
        </w:rPr>
        <w:t>持续改进安全管理绩效；</w:t>
      </w:r>
    </w:p>
    <w:p>
      <w:pPr>
        <w:pStyle w:val="21"/>
        <w:numPr>
          <w:ilvl w:val="0"/>
          <w:numId w:val="18"/>
        </w:numPr>
        <w:rPr>
          <w:rFonts w:hint="default"/>
          <w:lang w:val="en-US" w:eastAsia="zh-CN"/>
        </w:rPr>
      </w:pPr>
      <w:r>
        <w:rPr>
          <w:rFonts w:hint="eastAsia"/>
        </w:rPr>
        <w:t>形成良好的安全文化氛围。</w:t>
      </w:r>
    </w:p>
    <w:p>
      <w:pPr>
        <w:pStyle w:val="94"/>
        <w:rPr>
          <w:rFonts w:hint="eastAsia"/>
        </w:rPr>
      </w:pPr>
      <w:bookmarkStart w:id="16" w:name="_Toc16577"/>
      <w:bookmarkStart w:id="17" w:name="_Toc6677"/>
      <w:bookmarkStart w:id="18" w:name="_Toc10419"/>
      <w:r>
        <w:rPr>
          <w:rFonts w:hint="eastAsia"/>
        </w:rPr>
        <w:t>规范性引用文件</w:t>
      </w:r>
      <w:bookmarkEnd w:id="16"/>
      <w:bookmarkEnd w:id="17"/>
      <w:bookmarkEnd w:id="18"/>
    </w:p>
    <w:p>
      <w:pPr>
        <w:pStyle w:val="21"/>
        <w:rPr>
          <w:rFonts w:hint="default" w:eastAsia="宋体"/>
          <w:lang w:val="en-US" w:eastAsia="zh-CN"/>
        </w:rPr>
      </w:pPr>
      <w:r>
        <w:rPr>
          <w:rFonts w:hint="eastAsia"/>
          <w:i w:val="0"/>
          <w:iCs w:val="0"/>
          <w:lang w:val="en-US" w:eastAsia="zh-CN"/>
        </w:rPr>
        <w:t>本标准无规范性引用文件。</w:t>
      </w:r>
    </w:p>
    <w:p>
      <w:pPr>
        <w:pStyle w:val="94"/>
        <w:rPr>
          <w:rFonts w:hint="eastAsia"/>
        </w:rPr>
      </w:pPr>
      <w:bookmarkStart w:id="19" w:name="_Toc17529"/>
      <w:bookmarkStart w:id="20" w:name="_Toc14490"/>
      <w:bookmarkStart w:id="21" w:name="_Toc28618"/>
      <w:r>
        <w:rPr>
          <w:rFonts w:hint="eastAsia"/>
          <w:lang w:val="en-US" w:eastAsia="zh-CN"/>
        </w:rPr>
        <w:t>术语和定义</w:t>
      </w:r>
      <w:bookmarkEnd w:id="19"/>
      <w:bookmarkEnd w:id="20"/>
      <w:bookmarkEnd w:id="21"/>
    </w:p>
    <w:p>
      <w:pPr>
        <w:pStyle w:val="21"/>
        <w:rPr>
          <w:rFonts w:hint="eastAsia"/>
          <w:lang w:val="en-US" w:eastAsia="zh-CN"/>
        </w:rPr>
      </w:pPr>
      <w:r>
        <w:rPr>
          <w:rFonts w:hint="eastAsia"/>
          <w:lang w:val="en-US" w:eastAsia="zh-CN"/>
        </w:rPr>
        <w:t>下列术语和定义适用于本标准。</w:t>
      </w:r>
    </w:p>
    <w:p>
      <w:pPr>
        <w:pStyle w:val="51"/>
        <w:bidi w:val="0"/>
        <w:ind w:left="0" w:leftChars="0" w:firstLine="0" w:firstLineChars="0"/>
        <w:rPr>
          <w:rFonts w:hint="default"/>
          <w:lang w:val="en-US" w:eastAsia="zh-CN"/>
        </w:rPr>
      </w:pPr>
      <w:bookmarkStart w:id="22" w:name="_Toc29022"/>
      <w:bookmarkStart w:id="23" w:name="_Toc21967"/>
      <w:bookmarkStart w:id="24" w:name="_Toc21104"/>
      <w:r>
        <w:rPr>
          <w:rFonts w:hint="eastAsia"/>
          <w:lang w:val="en-US" w:eastAsia="zh-CN"/>
        </w:rPr>
        <w:t>安全与风险综合管理体系</w:t>
      </w:r>
      <w:bookmarkEnd w:id="22"/>
      <w:bookmarkEnd w:id="23"/>
    </w:p>
    <w:p>
      <w:pPr>
        <w:pStyle w:val="21"/>
        <w:rPr>
          <w:rFonts w:hint="default"/>
          <w:lang w:val="en-US" w:eastAsia="zh-CN"/>
        </w:rPr>
      </w:pPr>
      <w:r>
        <w:rPr>
          <w:rFonts w:hint="eastAsia"/>
          <w:lang w:val="en-US" w:eastAsia="zh-CN"/>
        </w:rPr>
        <w:t>紧紧围绕“安全第一，预防为主，综合治理”，充分融合风险分级管控和隐患排查治理双重预防体系，通过系统化</w:t>
      </w:r>
      <w:r>
        <w:rPr>
          <w:rFonts w:hint="eastAsia"/>
        </w:rPr>
        <w:t>的管理方法建立</w:t>
      </w:r>
      <w:r>
        <w:rPr>
          <w:rFonts w:hint="eastAsia"/>
          <w:lang w:val="en-US" w:eastAsia="zh-CN"/>
        </w:rPr>
        <w:t>一套适合于企业安全生产管理要求的综合管理体系</w:t>
      </w:r>
      <w:r>
        <w:rPr>
          <w:rFonts w:hint="eastAsia"/>
        </w:rPr>
        <w:t>，</w:t>
      </w:r>
      <w:r>
        <w:rPr>
          <w:rFonts w:hint="eastAsia"/>
          <w:lang w:val="en-US" w:eastAsia="zh-CN"/>
        </w:rPr>
        <w:t>并持续</w:t>
      </w:r>
      <w:r>
        <w:rPr>
          <w:rFonts w:hint="eastAsia"/>
        </w:rPr>
        <w:t>改进</w:t>
      </w:r>
      <w:r>
        <w:rPr>
          <w:rFonts w:hint="eastAsia"/>
          <w:lang w:val="en-US" w:eastAsia="zh-CN"/>
        </w:rPr>
        <w:t>企业</w:t>
      </w:r>
      <w:r>
        <w:rPr>
          <w:rFonts w:hint="eastAsia"/>
        </w:rPr>
        <w:t>安全管理绩效</w:t>
      </w:r>
      <w:r>
        <w:rPr>
          <w:rFonts w:hint="eastAsia"/>
          <w:lang w:val="en-US" w:eastAsia="zh-CN"/>
        </w:rPr>
        <w:t>。</w:t>
      </w:r>
    </w:p>
    <w:p>
      <w:pPr>
        <w:pStyle w:val="51"/>
        <w:bidi w:val="0"/>
        <w:ind w:left="0" w:leftChars="0" w:firstLine="0" w:firstLineChars="0"/>
        <w:rPr>
          <w:rFonts w:hint="default"/>
          <w:lang w:val="en-US" w:eastAsia="zh-CN"/>
        </w:rPr>
      </w:pPr>
      <w:bookmarkStart w:id="25" w:name="_Toc7750"/>
      <w:bookmarkStart w:id="26" w:name="_Toc8060"/>
      <w:r>
        <w:rPr>
          <w:rFonts w:hint="eastAsia"/>
          <w:lang w:val="en-US" w:eastAsia="zh-CN"/>
        </w:rPr>
        <w:t>合规义务</w:t>
      </w:r>
      <w:bookmarkEnd w:id="24"/>
      <w:bookmarkEnd w:id="25"/>
      <w:bookmarkEnd w:id="26"/>
    </w:p>
    <w:p>
      <w:pPr>
        <w:pStyle w:val="21"/>
        <w:rPr>
          <w:rFonts w:hint="eastAsia"/>
          <w:lang w:val="en-US" w:eastAsia="zh-CN"/>
        </w:rPr>
      </w:pPr>
      <w:r>
        <w:rPr>
          <w:rFonts w:hint="eastAsia"/>
          <w:lang w:val="en-US" w:eastAsia="zh-CN"/>
        </w:rPr>
        <w:t>企业必须遵守的法律法规要求，以及企业必须遵守或选择遵守的其他要求。</w:t>
      </w:r>
    </w:p>
    <w:p>
      <w:pPr>
        <w:pStyle w:val="21"/>
        <w:rPr>
          <w:rFonts w:hint="eastAsia"/>
          <w:lang w:val="en-US" w:eastAsia="zh-CN"/>
        </w:rPr>
      </w:pPr>
      <w:r>
        <w:rPr>
          <w:rFonts w:hint="eastAsia"/>
          <w:lang w:val="en-US" w:eastAsia="zh-CN"/>
        </w:rPr>
        <w:t>注1：合规义务是和安全与风险综合管理体系相关的。</w:t>
      </w:r>
    </w:p>
    <w:p>
      <w:pPr>
        <w:pStyle w:val="21"/>
        <w:rPr>
          <w:rFonts w:hint="eastAsia"/>
          <w:lang w:val="en-US" w:eastAsia="zh-CN"/>
        </w:rPr>
      </w:pPr>
      <w:r>
        <w:rPr>
          <w:rFonts w:hint="eastAsia"/>
          <w:lang w:val="en-US" w:eastAsia="zh-CN"/>
        </w:rPr>
        <w:t>注2：合规义务可能来自于强制性要求，例如：适用的法律和法规，或来自于自愿性承诺，例如：企业的和行业的标准、合同规定、操作规程、与社团或非政府组织间的协议。</w:t>
      </w:r>
    </w:p>
    <w:p>
      <w:pPr>
        <w:pStyle w:val="51"/>
        <w:bidi w:val="0"/>
        <w:ind w:left="0" w:leftChars="0" w:firstLine="0" w:firstLineChars="0"/>
        <w:rPr>
          <w:rFonts w:hint="eastAsia"/>
          <w:lang w:val="en-US" w:eastAsia="zh-CN"/>
        </w:rPr>
      </w:pPr>
      <w:bookmarkStart w:id="27" w:name="_Toc3011"/>
      <w:bookmarkStart w:id="28" w:name="_Toc4138"/>
      <w:bookmarkStart w:id="29" w:name="_Toc29629"/>
      <w:r>
        <w:rPr>
          <w:rFonts w:hint="eastAsia"/>
          <w:lang w:val="en-US" w:eastAsia="zh-CN"/>
        </w:rPr>
        <w:t>成文信息</w:t>
      </w:r>
      <w:bookmarkEnd w:id="27"/>
      <w:bookmarkEnd w:id="28"/>
      <w:r>
        <w:rPr>
          <w:rFonts w:hint="eastAsia"/>
          <w:lang w:val="en-US" w:eastAsia="zh-CN"/>
        </w:rPr>
        <w:t xml:space="preserve"> </w:t>
      </w:r>
      <w:bookmarkEnd w:id="29"/>
    </w:p>
    <w:p>
      <w:pPr>
        <w:pStyle w:val="21"/>
        <w:rPr>
          <w:rFonts w:hint="eastAsia"/>
          <w:lang w:val="en-US" w:eastAsia="zh-CN"/>
        </w:rPr>
      </w:pPr>
      <w:r>
        <w:rPr>
          <w:rFonts w:hint="eastAsia"/>
          <w:lang w:val="en-US" w:eastAsia="zh-CN"/>
        </w:rPr>
        <w:t>企业需要控制并保持的信息，以及承载信息的载体。</w:t>
      </w:r>
    </w:p>
    <w:p>
      <w:pPr>
        <w:pStyle w:val="21"/>
        <w:rPr>
          <w:rFonts w:hint="eastAsia"/>
          <w:lang w:val="en-US" w:eastAsia="zh-CN"/>
        </w:rPr>
      </w:pPr>
      <w:r>
        <w:rPr>
          <w:rFonts w:hint="eastAsia"/>
          <w:lang w:val="en-US" w:eastAsia="zh-CN"/>
        </w:rPr>
        <w:t>注1：成文信息可能以任何形式和承载载体存在，并可能来自任何来源。</w:t>
      </w:r>
    </w:p>
    <w:p>
      <w:pPr>
        <w:pStyle w:val="21"/>
        <w:rPr>
          <w:rFonts w:hint="eastAsia"/>
          <w:lang w:val="en-US" w:eastAsia="zh-CN"/>
        </w:rPr>
      </w:pPr>
      <w:r>
        <w:rPr>
          <w:rFonts w:hint="eastAsia"/>
          <w:lang w:val="en-US" w:eastAsia="zh-CN"/>
        </w:rPr>
        <w:t>注2：成文信息可能涉及：</w:t>
      </w:r>
    </w:p>
    <w:p>
      <w:pPr>
        <w:pStyle w:val="21"/>
        <w:rPr>
          <w:rFonts w:hint="eastAsia"/>
          <w:lang w:val="en-US" w:eastAsia="zh-CN"/>
        </w:rPr>
      </w:pPr>
      <w:r>
        <w:rPr>
          <w:rFonts w:hint="eastAsia"/>
          <w:lang w:val="en-US" w:eastAsia="zh-CN"/>
        </w:rPr>
        <w:t>——安全与风险综合管理体系，包括相关过程；</w:t>
      </w:r>
    </w:p>
    <w:p>
      <w:pPr>
        <w:pStyle w:val="21"/>
        <w:rPr>
          <w:rFonts w:hint="eastAsia"/>
          <w:lang w:val="en-US" w:eastAsia="zh-CN"/>
        </w:rPr>
      </w:pPr>
      <w:r>
        <w:rPr>
          <w:rFonts w:hint="eastAsia"/>
          <w:lang w:val="en-US" w:eastAsia="zh-CN"/>
        </w:rPr>
        <w:t>——为企业运行而创建的信息（可能被称为文件）；</w:t>
      </w:r>
    </w:p>
    <w:p>
      <w:pPr>
        <w:pStyle w:val="21"/>
        <w:rPr>
          <w:rFonts w:hint="eastAsia"/>
          <w:lang w:val="en-US" w:eastAsia="zh-CN"/>
        </w:rPr>
      </w:pPr>
      <w:r>
        <w:rPr>
          <w:rFonts w:hint="eastAsia"/>
          <w:lang w:val="en-US" w:eastAsia="zh-CN"/>
        </w:rPr>
        <w:t>——实现结果的证据（可能被称为记录）。</w:t>
      </w:r>
    </w:p>
    <w:p>
      <w:pPr>
        <w:pStyle w:val="51"/>
        <w:bidi w:val="0"/>
        <w:ind w:left="0" w:leftChars="0" w:firstLine="0" w:firstLineChars="0"/>
        <w:rPr>
          <w:rFonts w:hint="eastAsia"/>
          <w:lang w:val="en-US" w:eastAsia="zh-CN"/>
        </w:rPr>
      </w:pPr>
      <w:bookmarkStart w:id="30" w:name="_Toc22170"/>
      <w:bookmarkStart w:id="31" w:name="_Toc30072"/>
      <w:bookmarkStart w:id="32" w:name="_Toc10903"/>
      <w:r>
        <w:rPr>
          <w:rFonts w:hint="eastAsia"/>
          <w:lang w:val="en-US" w:eastAsia="zh-CN"/>
        </w:rPr>
        <w:t>风险</w:t>
      </w:r>
      <w:bookmarkEnd w:id="30"/>
      <w:bookmarkEnd w:id="31"/>
      <w:r>
        <w:rPr>
          <w:rFonts w:hint="eastAsia"/>
          <w:lang w:val="en-US" w:eastAsia="zh-CN"/>
        </w:rPr>
        <w:t xml:space="preserve"> </w:t>
      </w:r>
      <w:bookmarkEnd w:id="32"/>
    </w:p>
    <w:p>
      <w:pPr>
        <w:pStyle w:val="21"/>
        <w:rPr>
          <w:rFonts w:hint="eastAsia"/>
          <w:lang w:val="en-US" w:eastAsia="zh-CN"/>
        </w:rPr>
      </w:pPr>
      <w:r>
        <w:rPr>
          <w:rFonts w:hint="eastAsia"/>
          <w:lang w:val="en-US" w:eastAsia="zh-CN"/>
        </w:rPr>
        <w:t>不确定性对目标的影响。</w:t>
      </w:r>
    </w:p>
    <w:p>
      <w:pPr>
        <w:pStyle w:val="21"/>
        <w:rPr>
          <w:rFonts w:hint="eastAsia"/>
          <w:lang w:val="en-US" w:eastAsia="zh-CN"/>
        </w:rPr>
      </w:pPr>
      <w:r>
        <w:rPr>
          <w:rFonts w:hint="eastAsia"/>
          <w:lang w:val="en-US" w:eastAsia="zh-CN"/>
        </w:rPr>
        <w:t>注1：影响是指偏离预期，可以是正面的和/或负面的。</w:t>
      </w:r>
    </w:p>
    <w:p>
      <w:pPr>
        <w:pStyle w:val="21"/>
        <w:rPr>
          <w:rFonts w:hint="eastAsia"/>
          <w:lang w:val="en-US" w:eastAsia="zh-CN"/>
        </w:rPr>
      </w:pPr>
      <w:r>
        <w:rPr>
          <w:rFonts w:hint="eastAsia"/>
          <w:lang w:val="en-US" w:eastAsia="zh-CN"/>
        </w:rPr>
        <w:t>注2：目标可以是不同方面（如财务、健康与安全、环境等）和层面（如战略、组织、项目、产品和过程等）的目标。</w:t>
      </w:r>
    </w:p>
    <w:p>
      <w:pPr>
        <w:pStyle w:val="21"/>
        <w:rPr>
          <w:rFonts w:hint="eastAsia"/>
          <w:lang w:val="en-US" w:eastAsia="zh-CN"/>
        </w:rPr>
      </w:pPr>
      <w:r>
        <w:rPr>
          <w:rFonts w:hint="eastAsia"/>
          <w:lang w:val="en-US" w:eastAsia="zh-CN"/>
        </w:rPr>
        <w:t>注3：通常用潜在事件和后果，或两者的组合来描述风险的特性。</w:t>
      </w:r>
    </w:p>
    <w:p>
      <w:pPr>
        <w:pStyle w:val="21"/>
        <w:rPr>
          <w:rFonts w:hint="eastAsia"/>
          <w:lang w:val="en-US" w:eastAsia="zh-CN"/>
        </w:rPr>
      </w:pPr>
      <w:r>
        <w:rPr>
          <w:rFonts w:hint="eastAsia"/>
          <w:lang w:val="en-US" w:eastAsia="zh-CN"/>
        </w:rPr>
        <w:t>注4：通常以事件后果（包括情形的变化）和事件发生可能性的组合来表示风险。</w:t>
      </w:r>
    </w:p>
    <w:p>
      <w:pPr>
        <w:pStyle w:val="21"/>
        <w:rPr>
          <w:rFonts w:hint="default"/>
          <w:lang w:val="en-US" w:eastAsia="zh-CN"/>
        </w:rPr>
      </w:pPr>
      <w:r>
        <w:rPr>
          <w:rFonts w:hint="eastAsia"/>
          <w:lang w:val="en-US" w:eastAsia="zh-CN"/>
        </w:rPr>
        <w:t>注5：不确定性是指对事件及其后果或可能性的信息缺失或了解片面的状态。</w:t>
      </w:r>
    </w:p>
    <w:p>
      <w:pPr>
        <w:pStyle w:val="51"/>
        <w:bidi w:val="0"/>
        <w:ind w:left="0" w:leftChars="0" w:firstLine="0" w:firstLineChars="0"/>
        <w:rPr>
          <w:rFonts w:hint="eastAsia"/>
          <w:lang w:val="en-US" w:eastAsia="zh-CN"/>
        </w:rPr>
      </w:pPr>
      <w:bookmarkStart w:id="33" w:name="_Toc13676"/>
      <w:bookmarkStart w:id="34" w:name="_Toc29990"/>
      <w:bookmarkStart w:id="35" w:name="_Toc16441"/>
      <w:r>
        <w:rPr>
          <w:rFonts w:hint="eastAsia"/>
          <w:lang w:val="en-US" w:eastAsia="zh-CN"/>
        </w:rPr>
        <w:t>风险和机遇</w:t>
      </w:r>
      <w:bookmarkEnd w:id="33"/>
      <w:bookmarkEnd w:id="34"/>
      <w:r>
        <w:rPr>
          <w:rFonts w:hint="eastAsia"/>
          <w:lang w:val="en-US" w:eastAsia="zh-CN"/>
        </w:rPr>
        <w:t xml:space="preserve"> </w:t>
      </w:r>
      <w:bookmarkEnd w:id="35"/>
    </w:p>
    <w:p>
      <w:pPr>
        <w:pStyle w:val="21"/>
        <w:rPr>
          <w:rFonts w:hint="eastAsia"/>
          <w:lang w:val="en-US" w:eastAsia="zh-CN"/>
        </w:rPr>
      </w:pPr>
      <w:r>
        <w:rPr>
          <w:rFonts w:hint="eastAsia"/>
          <w:lang w:val="en-US" w:eastAsia="zh-CN"/>
        </w:rPr>
        <w:t>潜在的不利影响（威胁）和潜在的有益影响（机会）。</w:t>
      </w:r>
    </w:p>
    <w:p>
      <w:pPr>
        <w:pStyle w:val="51"/>
        <w:bidi w:val="0"/>
        <w:ind w:left="0" w:leftChars="0" w:firstLine="0" w:firstLineChars="0"/>
        <w:rPr>
          <w:rFonts w:hint="eastAsia"/>
          <w:lang w:val="en-US" w:eastAsia="zh-CN"/>
        </w:rPr>
      </w:pPr>
      <w:bookmarkStart w:id="36" w:name="_Toc12636"/>
      <w:bookmarkStart w:id="37" w:name="_Toc9293"/>
      <w:r>
        <w:rPr>
          <w:rFonts w:hint="eastAsia"/>
          <w:lang w:val="en-US" w:eastAsia="zh-CN"/>
        </w:rPr>
        <w:t>物项</w:t>
      </w:r>
      <w:bookmarkEnd w:id="36"/>
      <w:bookmarkEnd w:id="37"/>
      <w:r>
        <w:rPr>
          <w:rFonts w:hint="eastAsia"/>
          <w:lang w:val="en-US" w:eastAsia="zh-CN"/>
        </w:rPr>
        <w:t xml:space="preserve"> </w:t>
      </w:r>
    </w:p>
    <w:p>
      <w:pPr>
        <w:pStyle w:val="21"/>
        <w:rPr>
          <w:rFonts w:hint="eastAsia"/>
          <w:szCs w:val="22"/>
          <w:lang w:val="en-US" w:eastAsia="zh-CN"/>
        </w:rPr>
      </w:pPr>
      <w:r>
        <w:rPr>
          <w:rFonts w:hint="eastAsia"/>
          <w:szCs w:val="22"/>
          <w:lang w:val="en-US" w:eastAsia="zh-CN"/>
        </w:rPr>
        <w:t>用于工程施工的材料、构配件的统称。</w:t>
      </w:r>
    </w:p>
    <w:p>
      <w:pPr>
        <w:pStyle w:val="51"/>
        <w:bidi w:val="0"/>
        <w:ind w:left="0" w:leftChars="0" w:firstLine="0" w:firstLineChars="0"/>
        <w:rPr>
          <w:rFonts w:hint="default"/>
          <w:highlight w:val="none"/>
          <w:lang w:val="en-US" w:eastAsia="zh-CN"/>
        </w:rPr>
      </w:pPr>
      <w:bookmarkStart w:id="38" w:name="_Toc6559"/>
      <w:bookmarkStart w:id="39" w:name="_Toc11483"/>
      <w:r>
        <w:rPr>
          <w:rFonts w:hint="eastAsia"/>
          <w:highlight w:val="none"/>
          <w:lang w:val="en-US" w:eastAsia="zh-CN"/>
        </w:rPr>
        <w:t>施工机具</w:t>
      </w:r>
      <w:bookmarkEnd w:id="38"/>
      <w:bookmarkEnd w:id="39"/>
    </w:p>
    <w:p>
      <w:pPr>
        <w:pStyle w:val="21"/>
        <w:rPr>
          <w:rFonts w:hint="default"/>
          <w:lang w:val="en-US" w:eastAsia="zh-CN"/>
        </w:rPr>
      </w:pPr>
      <w:r>
        <w:rPr>
          <w:rFonts w:hint="default"/>
          <w:lang w:val="en-US" w:eastAsia="zh-CN"/>
        </w:rPr>
        <w:t>用于现场施工的用具，包括个人防护用品、工器具、设备设施等</w:t>
      </w:r>
      <w:r>
        <w:rPr>
          <w:rFonts w:hint="eastAsia"/>
          <w:lang w:val="en-US" w:eastAsia="zh-CN"/>
        </w:rPr>
        <w:t>。</w:t>
      </w:r>
    </w:p>
    <w:p>
      <w:pPr>
        <w:pStyle w:val="51"/>
        <w:bidi w:val="0"/>
        <w:ind w:left="0" w:leftChars="0" w:firstLine="0" w:firstLineChars="0"/>
        <w:rPr>
          <w:rFonts w:hint="eastAsia"/>
          <w:lang w:val="en-US" w:eastAsia="zh-CN"/>
        </w:rPr>
      </w:pPr>
      <w:bookmarkStart w:id="40" w:name="_Toc18741"/>
      <w:bookmarkStart w:id="41" w:name="_Toc746"/>
      <w:r>
        <w:rPr>
          <w:rFonts w:hint="eastAsia"/>
          <w:highlight w:val="none"/>
          <w:lang w:val="en-US" w:eastAsia="zh-CN"/>
        </w:rPr>
        <w:t>危害因素</w:t>
      </w:r>
      <w:bookmarkEnd w:id="40"/>
      <w:bookmarkEnd w:id="41"/>
      <w:r>
        <w:rPr>
          <w:rFonts w:hint="eastAsia"/>
          <w:lang w:val="en-US" w:eastAsia="zh-CN"/>
        </w:rPr>
        <w:t xml:space="preserve"> </w:t>
      </w:r>
    </w:p>
    <w:p>
      <w:pPr>
        <w:pStyle w:val="21"/>
        <w:rPr>
          <w:rFonts w:hint="eastAsia"/>
          <w:szCs w:val="22"/>
          <w:lang w:val="en-US" w:eastAsia="zh-CN"/>
        </w:rPr>
      </w:pPr>
      <w:r>
        <w:rPr>
          <w:rFonts w:hint="eastAsia"/>
          <w:lang w:val="en-US" w:eastAsia="zh-CN"/>
        </w:rPr>
        <w:t>可能导致伤害、健康损害或环境影响的因素与来源</w:t>
      </w:r>
      <w:r>
        <w:rPr>
          <w:rFonts w:hint="eastAsia"/>
          <w:szCs w:val="22"/>
          <w:lang w:val="en-US" w:eastAsia="zh-CN"/>
        </w:rPr>
        <w:t>。</w:t>
      </w:r>
    </w:p>
    <w:p>
      <w:pPr>
        <w:pStyle w:val="51"/>
        <w:bidi w:val="0"/>
        <w:ind w:left="0" w:leftChars="0" w:firstLine="0" w:firstLineChars="0"/>
        <w:rPr>
          <w:rFonts w:hint="eastAsia"/>
          <w:highlight w:val="none"/>
          <w:lang w:val="en-US" w:eastAsia="zh-CN"/>
        </w:rPr>
      </w:pPr>
      <w:bookmarkStart w:id="42" w:name="_Toc19328"/>
      <w:bookmarkStart w:id="43" w:name="_Toc23625"/>
      <w:r>
        <w:rPr>
          <w:rFonts w:hint="eastAsia"/>
          <w:highlight w:val="none"/>
          <w:lang w:val="en-US" w:eastAsia="zh-CN"/>
        </w:rPr>
        <w:t>风险分级管控</w:t>
      </w:r>
      <w:bookmarkEnd w:id="42"/>
      <w:bookmarkEnd w:id="43"/>
      <w:r>
        <w:rPr>
          <w:rFonts w:hint="eastAsia"/>
          <w:highlight w:val="none"/>
          <w:lang w:val="en-US" w:eastAsia="zh-CN"/>
        </w:rPr>
        <w:t xml:space="preserve"> </w:t>
      </w:r>
    </w:p>
    <w:p>
      <w:pPr>
        <w:pStyle w:val="21"/>
        <w:rPr>
          <w:rFonts w:hint="eastAsia"/>
          <w:szCs w:val="22"/>
          <w:lang w:val="en-US" w:eastAsia="zh-CN"/>
        </w:rPr>
      </w:pPr>
      <w:r>
        <w:rPr>
          <w:rFonts w:hint="eastAsia"/>
          <w:szCs w:val="22"/>
          <w:lang w:val="en-US" w:eastAsia="zh-CN"/>
        </w:rPr>
        <w:t xml:space="preserve">指按照风险不同级别、所需管控资源、管控能力、管控措施复杂及难易程度等因素而确定不同管控层级的风险管控方式。 </w:t>
      </w:r>
    </w:p>
    <w:p>
      <w:pPr>
        <w:pStyle w:val="21"/>
        <w:rPr>
          <w:rFonts w:hint="eastAsia"/>
          <w:szCs w:val="22"/>
          <w:lang w:val="en-US" w:eastAsia="zh-CN"/>
        </w:rPr>
      </w:pPr>
      <w:r>
        <w:rPr>
          <w:rFonts w:hint="eastAsia"/>
          <w:szCs w:val="22"/>
          <w:lang w:val="en-US" w:eastAsia="zh-CN"/>
        </w:rPr>
        <w:t>遵循风险越高管控层级越高的原则，对于操作难度大、技术含量高、风险等级高、可能导致严重后果的作业活动应重点进行管控。上一级负责管控的风险，下一级必须同时负责管控，并逐级落实具体措施。风险管控层级可进行增加或合并，需结合实际情况，合理确定各级风险的管控层级。</w:t>
      </w:r>
    </w:p>
    <w:p>
      <w:pPr>
        <w:pStyle w:val="51"/>
        <w:bidi w:val="0"/>
        <w:ind w:left="0" w:leftChars="0" w:firstLine="0" w:firstLineChars="0"/>
        <w:rPr>
          <w:rFonts w:hint="eastAsia"/>
          <w:lang w:val="en-US" w:eastAsia="zh-CN"/>
        </w:rPr>
      </w:pPr>
      <w:bookmarkStart w:id="44" w:name="_Toc24052"/>
      <w:bookmarkStart w:id="45" w:name="_Toc4716"/>
      <w:r>
        <w:rPr>
          <w:rFonts w:hint="eastAsia"/>
          <w:lang w:val="en-US" w:eastAsia="zh-CN"/>
        </w:rPr>
        <w:t>安全生产事故隐患</w:t>
      </w:r>
      <w:bookmarkEnd w:id="44"/>
      <w:bookmarkEnd w:id="45"/>
    </w:p>
    <w:p>
      <w:pPr>
        <w:pStyle w:val="21"/>
        <w:rPr>
          <w:rFonts w:hint="default"/>
          <w:lang w:val="en-US" w:eastAsia="zh-CN"/>
        </w:rPr>
      </w:pPr>
      <w:r>
        <w:t>违反安全生产法律、法规、规章、标准、规程和安全生产管理制度的规定，或者因其他因素在生产经营活动中存在可能导致事故发生的物的危险状态、人的不安全行为和管理上的缺陷</w:t>
      </w:r>
      <w:r>
        <w:rPr>
          <w:rFonts w:hint="eastAsia"/>
          <w:szCs w:val="22"/>
          <w:lang w:val="en-US" w:eastAsia="zh-CN"/>
        </w:rPr>
        <w:t>。</w:t>
      </w:r>
    </w:p>
    <w:p>
      <w:pPr>
        <w:pStyle w:val="21"/>
        <w:rPr>
          <w:rFonts w:hint="eastAsia" w:eastAsia="宋体"/>
          <w:szCs w:val="22"/>
          <w:lang w:val="en-US" w:eastAsia="zh-CN"/>
        </w:rPr>
      </w:pPr>
      <w:r>
        <w:rPr>
          <w:rFonts w:hint="eastAsia"/>
          <w:lang w:val="en-US" w:eastAsia="zh-CN"/>
        </w:rPr>
        <w:t>注：本标准的</w:t>
      </w:r>
      <w:r>
        <w:t>安全生产事故隐患简称</w:t>
      </w:r>
      <w:r>
        <w:rPr>
          <w:rFonts w:hint="eastAsia"/>
          <w:lang w:eastAsia="zh-CN"/>
        </w:rPr>
        <w:t>“</w:t>
      </w:r>
      <w:r>
        <w:rPr>
          <w:rFonts w:hint="eastAsia"/>
          <w:lang w:val="en-US" w:eastAsia="zh-CN"/>
        </w:rPr>
        <w:t>隐患”或“</w:t>
      </w:r>
      <w:r>
        <w:t>事故隐患</w:t>
      </w:r>
      <w:r>
        <w:rPr>
          <w:rFonts w:hint="eastAsia"/>
          <w:lang w:eastAsia="zh-CN"/>
        </w:rPr>
        <w:t>”。</w:t>
      </w:r>
    </w:p>
    <w:p>
      <w:pPr>
        <w:pStyle w:val="94"/>
        <w:rPr>
          <w:rFonts w:hint="eastAsia"/>
          <w:szCs w:val="22"/>
          <w:lang w:val="en-US" w:eastAsia="zh-CN"/>
        </w:rPr>
      </w:pPr>
      <w:bookmarkStart w:id="46" w:name="_Toc29041"/>
      <w:bookmarkStart w:id="47" w:name="_Toc3660"/>
      <w:bookmarkStart w:id="48" w:name="_Toc4463"/>
      <w:r>
        <w:rPr>
          <w:rFonts w:hint="eastAsia"/>
          <w:szCs w:val="22"/>
          <w:lang w:val="en-US" w:eastAsia="zh-CN"/>
        </w:rPr>
        <w:t>基本规定</w:t>
      </w:r>
      <w:bookmarkEnd w:id="46"/>
      <w:bookmarkEnd w:id="47"/>
      <w:bookmarkEnd w:id="48"/>
    </w:p>
    <w:p>
      <w:pPr>
        <w:pStyle w:val="51"/>
        <w:bidi w:val="0"/>
        <w:ind w:left="0" w:leftChars="0" w:firstLine="0" w:firstLineChars="0"/>
        <w:rPr>
          <w:rFonts w:hint="eastAsia"/>
          <w:lang w:val="en-US" w:eastAsia="zh-CN"/>
        </w:rPr>
      </w:pPr>
      <w:bookmarkStart w:id="49" w:name="_Toc8577"/>
      <w:bookmarkStart w:id="50" w:name="_Toc25948"/>
      <w:bookmarkStart w:id="51" w:name="_Toc299"/>
      <w:r>
        <w:rPr>
          <w:rFonts w:hint="eastAsia"/>
        </w:rPr>
        <w:t>安全与风险</w:t>
      </w:r>
      <w:r>
        <w:rPr>
          <w:rFonts w:hint="eastAsia"/>
          <w:lang w:val="en-US" w:eastAsia="zh-CN"/>
        </w:rPr>
        <w:t>方针</w:t>
      </w:r>
      <w:bookmarkEnd w:id="49"/>
      <w:bookmarkEnd w:id="50"/>
      <w:bookmarkEnd w:id="51"/>
    </w:p>
    <w:p>
      <w:pPr>
        <w:pStyle w:val="21"/>
        <w:rPr>
          <w:rFonts w:hint="eastAsia"/>
        </w:rPr>
      </w:pPr>
      <w:r>
        <w:rPr>
          <w:rFonts w:hint="eastAsia"/>
        </w:rPr>
        <w:t>最高管理者应建立、实施并保持安全与风险方针，体现企业安全生产、职业健康、环境保护等的宗旨和方向，以及持续降低与安全有关的风险的承诺，为企业的安全生产管理提供方向。</w:t>
      </w:r>
    </w:p>
    <w:p>
      <w:pPr>
        <w:pStyle w:val="21"/>
      </w:pPr>
      <w:r>
        <w:rPr>
          <w:rFonts w:hint="eastAsia"/>
        </w:rPr>
        <w:t>安全与风险方针应体现：</w:t>
      </w:r>
    </w:p>
    <w:p>
      <w:pPr>
        <w:pStyle w:val="21"/>
        <w:numPr>
          <w:ilvl w:val="0"/>
          <w:numId w:val="19"/>
        </w:numPr>
      </w:pPr>
      <w:r>
        <w:rPr>
          <w:rFonts w:hint="eastAsia"/>
        </w:rPr>
        <w:t>企业安全发展战略的目标与方向。</w:t>
      </w:r>
    </w:p>
    <w:p>
      <w:pPr>
        <w:pStyle w:val="21"/>
        <w:numPr>
          <w:ilvl w:val="0"/>
          <w:numId w:val="19"/>
        </w:numPr>
      </w:pPr>
      <w:r>
        <w:rPr>
          <w:rFonts w:hint="eastAsia"/>
        </w:rPr>
        <w:t>满足合规义务的承诺。</w:t>
      </w:r>
    </w:p>
    <w:p>
      <w:pPr>
        <w:pStyle w:val="21"/>
        <w:numPr>
          <w:ilvl w:val="0"/>
          <w:numId w:val="19"/>
        </w:numPr>
      </w:pPr>
      <w:r>
        <w:rPr>
          <w:rFonts w:hint="eastAsia"/>
        </w:rPr>
        <w:t>为防止与工作相关的伤害和健康损害而提供安全和健康的工作条件的承诺，并适合于企业的宗旨和规模、企业所处的环境，以及与安全有关的风险特性。</w:t>
      </w:r>
    </w:p>
    <w:p>
      <w:pPr>
        <w:pStyle w:val="21"/>
        <w:numPr>
          <w:ilvl w:val="0"/>
          <w:numId w:val="19"/>
        </w:numPr>
      </w:pPr>
      <w:r>
        <w:rPr>
          <w:rFonts w:hint="eastAsia"/>
        </w:rPr>
        <w:t>企业对安全、健康、环境及持续改进的承诺。</w:t>
      </w:r>
    </w:p>
    <w:p>
      <w:pPr>
        <w:pStyle w:val="21"/>
        <w:numPr>
          <w:ilvl w:val="0"/>
          <w:numId w:val="19"/>
        </w:numPr>
      </w:pPr>
      <w:r>
        <w:rPr>
          <w:rFonts w:hint="eastAsia"/>
        </w:rPr>
        <w:t>社会、客户、员工和其他相关方的需求。</w:t>
      </w:r>
    </w:p>
    <w:p>
      <w:pPr>
        <w:pStyle w:val="21"/>
        <w:ind w:firstLineChars="0"/>
      </w:pPr>
      <w:r>
        <w:rPr>
          <w:rFonts w:hint="eastAsia"/>
        </w:rPr>
        <w:t>安全与风险方针应：</w:t>
      </w:r>
    </w:p>
    <w:p>
      <w:pPr>
        <w:pStyle w:val="21"/>
        <w:ind w:left="420" w:firstLine="0" w:firstLineChars="0"/>
        <w:rPr>
          <w:szCs w:val="22"/>
        </w:rPr>
      </w:pPr>
      <w:r>
        <w:rPr>
          <w:rFonts w:hint="eastAsia"/>
          <w:szCs w:val="22"/>
        </w:rPr>
        <w:t>——作为成文信息而可被获取；</w:t>
      </w:r>
    </w:p>
    <w:p>
      <w:pPr>
        <w:pStyle w:val="21"/>
        <w:ind w:left="420" w:firstLine="0" w:firstLineChars="0"/>
        <w:rPr>
          <w:szCs w:val="22"/>
        </w:rPr>
      </w:pPr>
      <w:r>
        <w:rPr>
          <w:rFonts w:hint="eastAsia"/>
          <w:szCs w:val="22"/>
        </w:rPr>
        <w:t>——在企业内予以传达、沟通与</w:t>
      </w:r>
      <w:r>
        <w:rPr>
          <w:rFonts w:hint="eastAsia"/>
          <w:szCs w:val="22"/>
          <w:lang w:val="en-US" w:eastAsia="zh-CN"/>
        </w:rPr>
        <w:t>实施</w:t>
      </w:r>
      <w:r>
        <w:rPr>
          <w:rFonts w:hint="eastAsia"/>
          <w:szCs w:val="22"/>
        </w:rPr>
        <w:t>；</w:t>
      </w:r>
    </w:p>
    <w:p>
      <w:pPr>
        <w:pStyle w:val="21"/>
        <w:ind w:left="420" w:firstLine="0" w:firstLineChars="0"/>
        <w:rPr>
          <w:szCs w:val="22"/>
        </w:rPr>
      </w:pPr>
      <w:r>
        <w:rPr>
          <w:rFonts w:hint="eastAsia"/>
          <w:szCs w:val="22"/>
        </w:rPr>
        <w:t>——在适当时可为相关方所获取；</w:t>
      </w:r>
    </w:p>
    <w:p>
      <w:pPr>
        <w:pStyle w:val="21"/>
        <w:numPr>
          <w:ilvl w:val="0"/>
          <w:numId w:val="0"/>
        </w:numPr>
        <w:ind w:left="420" w:leftChars="0"/>
        <w:rPr>
          <w:rFonts w:hint="default"/>
          <w:szCs w:val="22"/>
          <w:lang w:val="en-US" w:eastAsia="zh-CN"/>
        </w:rPr>
      </w:pPr>
      <w:r>
        <w:rPr>
          <w:rFonts w:hint="eastAsia"/>
          <w:szCs w:val="22"/>
        </w:rPr>
        <w:t>——保持相关和适宜。</w:t>
      </w:r>
    </w:p>
    <w:p>
      <w:pPr>
        <w:pStyle w:val="51"/>
        <w:bidi w:val="0"/>
        <w:ind w:left="0" w:leftChars="0" w:firstLine="0" w:firstLineChars="0"/>
        <w:rPr>
          <w:rFonts w:hint="eastAsia"/>
          <w:lang w:val="en-US" w:eastAsia="zh-CN"/>
        </w:rPr>
      </w:pPr>
      <w:bookmarkStart w:id="52" w:name="_Toc28846"/>
      <w:bookmarkStart w:id="53" w:name="_Toc28938"/>
      <w:bookmarkStart w:id="54" w:name="_Toc6417"/>
      <w:r>
        <w:rPr>
          <w:rFonts w:hint="eastAsia"/>
        </w:rPr>
        <w:t>安全与风险</w:t>
      </w:r>
      <w:r>
        <w:rPr>
          <w:rFonts w:hint="eastAsia"/>
          <w:lang w:val="en-US" w:eastAsia="zh-CN"/>
        </w:rPr>
        <w:t>目标指标</w:t>
      </w:r>
      <w:bookmarkEnd w:id="52"/>
      <w:bookmarkEnd w:id="53"/>
      <w:bookmarkEnd w:id="54"/>
    </w:p>
    <w:p>
      <w:pPr>
        <w:pStyle w:val="51"/>
        <w:numPr>
          <w:ilvl w:val="1"/>
          <w:numId w:val="0"/>
        </w:numPr>
        <w:bidi w:val="0"/>
        <w:ind w:leftChars="0"/>
        <w:rPr>
          <w:rFonts w:hint="default"/>
          <w:lang w:val="en-US" w:eastAsia="zh-CN"/>
        </w:rPr>
      </w:pPr>
      <w:bookmarkStart w:id="55" w:name="_Toc7430"/>
      <w:bookmarkStart w:id="56" w:name="_Toc2925"/>
      <w:bookmarkStart w:id="57" w:name="_Toc20719"/>
      <w:r>
        <w:rPr>
          <w:rFonts w:hint="eastAsia"/>
          <w:lang w:val="en-US" w:eastAsia="zh-CN"/>
        </w:rPr>
        <w:t>4.2.1设立</w:t>
      </w:r>
      <w:bookmarkEnd w:id="55"/>
      <w:bookmarkEnd w:id="56"/>
      <w:bookmarkEnd w:id="57"/>
    </w:p>
    <w:p>
      <w:pPr>
        <w:pStyle w:val="21"/>
        <w:rPr>
          <w:rFonts w:hint="eastAsia"/>
          <w:lang w:val="en-US" w:eastAsia="zh-CN"/>
        </w:rPr>
      </w:pPr>
      <w:r>
        <w:rPr>
          <w:rFonts w:hint="eastAsia"/>
        </w:rPr>
        <w:t>企业应基于安全发展战略及</w:t>
      </w:r>
      <w:r>
        <w:rPr>
          <w:rFonts w:hint="eastAsia"/>
          <w:lang w:val="en-US" w:eastAsia="zh-CN"/>
        </w:rPr>
        <w:t>安全与风险</w:t>
      </w:r>
      <w:r>
        <w:rPr>
          <w:rFonts w:hint="eastAsia"/>
        </w:rPr>
        <w:t>方针，针对本企业与安全有关的风险</w:t>
      </w:r>
      <w:r>
        <w:rPr>
          <w:rFonts w:hint="eastAsia"/>
          <w:lang w:val="en-US" w:eastAsia="zh-CN"/>
        </w:rPr>
        <w:t>，在相关职能和层次上制定安全与风险目标指标，以保持安全与风险综合管理体系，持续改进安全绩效，并为企业的安全生产管理提供焦点与方向。</w:t>
      </w:r>
    </w:p>
    <w:p>
      <w:pPr>
        <w:pStyle w:val="21"/>
        <w:rPr>
          <w:rFonts w:hint="eastAsia"/>
          <w:lang w:val="en-US" w:eastAsia="zh-CN"/>
        </w:rPr>
      </w:pPr>
      <w:r>
        <w:rPr>
          <w:rFonts w:hint="eastAsia"/>
          <w:lang w:val="en-US" w:eastAsia="zh-CN"/>
        </w:rPr>
        <w:t>安全与风险目标指标应：</w:t>
      </w:r>
    </w:p>
    <w:p>
      <w:pPr>
        <w:pStyle w:val="21"/>
        <w:numPr>
          <w:ilvl w:val="0"/>
          <w:numId w:val="20"/>
        </w:numPr>
        <w:ind w:left="420" w:leftChars="0" w:firstLine="0" w:firstLineChars="0"/>
        <w:rPr>
          <w:rFonts w:hint="eastAsia"/>
          <w:szCs w:val="22"/>
          <w:lang w:val="en-US" w:eastAsia="zh-CN"/>
        </w:rPr>
      </w:pPr>
      <w:r>
        <w:rPr>
          <w:rFonts w:hint="eastAsia"/>
          <w:szCs w:val="22"/>
          <w:lang w:val="en-US" w:eastAsia="zh-CN"/>
        </w:rPr>
        <w:t>与方针一致；</w:t>
      </w:r>
    </w:p>
    <w:p>
      <w:pPr>
        <w:pStyle w:val="21"/>
        <w:numPr>
          <w:ilvl w:val="0"/>
          <w:numId w:val="20"/>
        </w:numPr>
        <w:ind w:left="420" w:leftChars="0" w:firstLine="0" w:firstLineChars="0"/>
        <w:rPr>
          <w:rFonts w:hint="eastAsia"/>
          <w:szCs w:val="22"/>
          <w:lang w:val="en-US" w:eastAsia="zh-CN"/>
        </w:rPr>
      </w:pPr>
      <w:r>
        <w:rPr>
          <w:rFonts w:hint="eastAsia"/>
          <w:szCs w:val="22"/>
          <w:lang w:val="en-US" w:eastAsia="zh-CN"/>
        </w:rPr>
        <w:t>可测量；</w:t>
      </w:r>
    </w:p>
    <w:p>
      <w:pPr>
        <w:pStyle w:val="21"/>
        <w:numPr>
          <w:ilvl w:val="0"/>
          <w:numId w:val="20"/>
        </w:numPr>
        <w:ind w:left="420" w:leftChars="0" w:firstLine="0" w:firstLineChars="0"/>
        <w:rPr>
          <w:rFonts w:hint="eastAsia"/>
          <w:szCs w:val="22"/>
          <w:lang w:val="en-US" w:eastAsia="zh-CN"/>
        </w:rPr>
      </w:pPr>
      <w:r>
        <w:rPr>
          <w:rFonts w:hint="eastAsia"/>
          <w:szCs w:val="22"/>
          <w:lang w:val="en-US" w:eastAsia="zh-CN"/>
        </w:rPr>
        <w:t>得到监视；</w:t>
      </w:r>
    </w:p>
    <w:p>
      <w:pPr>
        <w:pStyle w:val="21"/>
        <w:numPr>
          <w:ilvl w:val="0"/>
          <w:numId w:val="20"/>
        </w:numPr>
        <w:ind w:left="420" w:leftChars="0" w:firstLine="0" w:firstLineChars="0"/>
        <w:rPr>
          <w:rFonts w:hint="eastAsia"/>
          <w:szCs w:val="22"/>
          <w:lang w:val="en-US" w:eastAsia="zh-CN"/>
        </w:rPr>
      </w:pPr>
      <w:r>
        <w:rPr>
          <w:rFonts w:hint="eastAsia"/>
          <w:szCs w:val="22"/>
          <w:lang w:val="en-US" w:eastAsia="zh-CN"/>
        </w:rPr>
        <w:t>予以沟通；</w:t>
      </w:r>
    </w:p>
    <w:p>
      <w:pPr>
        <w:pStyle w:val="21"/>
        <w:numPr>
          <w:ilvl w:val="0"/>
          <w:numId w:val="20"/>
        </w:numPr>
        <w:ind w:left="420" w:leftChars="0" w:firstLine="0" w:firstLineChars="0"/>
        <w:rPr>
          <w:rFonts w:hint="eastAsia"/>
          <w:szCs w:val="22"/>
          <w:lang w:val="en-US" w:eastAsia="zh-CN"/>
        </w:rPr>
      </w:pPr>
      <w:r>
        <w:rPr>
          <w:rFonts w:hint="eastAsia"/>
          <w:szCs w:val="22"/>
          <w:lang w:val="en-US" w:eastAsia="zh-CN"/>
        </w:rPr>
        <w:t>可用于绩效评价；</w:t>
      </w:r>
    </w:p>
    <w:p>
      <w:pPr>
        <w:pStyle w:val="21"/>
        <w:numPr>
          <w:ilvl w:val="0"/>
          <w:numId w:val="20"/>
        </w:numPr>
        <w:ind w:left="420" w:leftChars="0" w:firstLine="0" w:firstLineChars="0"/>
        <w:rPr>
          <w:rFonts w:hint="default"/>
          <w:szCs w:val="22"/>
          <w:lang w:val="en-US" w:eastAsia="zh-CN"/>
        </w:rPr>
      </w:pPr>
      <w:r>
        <w:rPr>
          <w:rFonts w:hint="eastAsia"/>
          <w:szCs w:val="22"/>
          <w:lang w:val="en-US" w:eastAsia="zh-CN"/>
        </w:rPr>
        <w:t>在适当时予以更新。</w:t>
      </w:r>
    </w:p>
    <w:p>
      <w:pPr>
        <w:pStyle w:val="21"/>
        <w:rPr>
          <w:rFonts w:hint="eastAsia"/>
          <w:lang w:val="en-US" w:eastAsia="zh-CN"/>
        </w:rPr>
      </w:pPr>
      <w:r>
        <w:rPr>
          <w:rFonts w:hint="eastAsia"/>
          <w:lang w:val="en-US" w:eastAsia="zh-CN"/>
        </w:rPr>
        <w:t>企业在策划如何设立安全与风险目标指标时，应关注：</w:t>
      </w:r>
    </w:p>
    <w:p>
      <w:pPr>
        <w:pStyle w:val="21"/>
        <w:numPr>
          <w:ilvl w:val="0"/>
          <w:numId w:val="0"/>
        </w:numPr>
        <w:ind w:left="420" w:leftChars="0"/>
        <w:rPr>
          <w:rFonts w:hint="eastAsia"/>
          <w:szCs w:val="22"/>
          <w:lang w:val="en-US" w:eastAsia="zh-CN"/>
        </w:rPr>
      </w:pPr>
      <w:r>
        <w:rPr>
          <w:rFonts w:hint="eastAsia"/>
          <w:szCs w:val="22"/>
          <w:lang w:val="en-US" w:eastAsia="zh-CN"/>
        </w:rPr>
        <w:t>——层次结构；</w:t>
      </w:r>
    </w:p>
    <w:p>
      <w:pPr>
        <w:pStyle w:val="21"/>
        <w:numPr>
          <w:ilvl w:val="0"/>
          <w:numId w:val="0"/>
        </w:numPr>
        <w:ind w:left="420" w:leftChars="0"/>
        <w:rPr>
          <w:rFonts w:hint="eastAsia"/>
          <w:szCs w:val="22"/>
          <w:lang w:val="en-US" w:eastAsia="zh-CN"/>
        </w:rPr>
      </w:pPr>
      <w:r>
        <w:rPr>
          <w:rFonts w:hint="eastAsia"/>
          <w:szCs w:val="22"/>
          <w:lang w:val="en-US" w:eastAsia="zh-CN"/>
        </w:rPr>
        <w:t>——逻辑关系的系统性；</w:t>
      </w:r>
    </w:p>
    <w:p>
      <w:pPr>
        <w:pStyle w:val="21"/>
        <w:numPr>
          <w:ilvl w:val="0"/>
          <w:numId w:val="0"/>
        </w:numPr>
        <w:ind w:left="420" w:leftChars="0"/>
        <w:rPr>
          <w:rFonts w:hint="eastAsia"/>
          <w:szCs w:val="22"/>
          <w:lang w:val="en-US" w:eastAsia="zh-CN"/>
        </w:rPr>
      </w:pPr>
      <w:r>
        <w:rPr>
          <w:rFonts w:hint="eastAsia"/>
          <w:szCs w:val="22"/>
          <w:lang w:val="en-US" w:eastAsia="zh-CN"/>
        </w:rPr>
        <w:t>——内容的充分性；</w:t>
      </w:r>
    </w:p>
    <w:p>
      <w:pPr>
        <w:pStyle w:val="21"/>
        <w:numPr>
          <w:ilvl w:val="0"/>
          <w:numId w:val="0"/>
        </w:numPr>
        <w:ind w:left="420" w:leftChars="0"/>
        <w:rPr>
          <w:rFonts w:hint="eastAsia"/>
          <w:szCs w:val="22"/>
          <w:lang w:val="en-US" w:eastAsia="zh-CN"/>
        </w:rPr>
      </w:pPr>
      <w:r>
        <w:rPr>
          <w:rFonts w:hint="eastAsia"/>
          <w:szCs w:val="22"/>
          <w:lang w:val="en-US" w:eastAsia="zh-CN"/>
        </w:rPr>
        <w:t>——权重的适宜性；</w:t>
      </w:r>
    </w:p>
    <w:p>
      <w:pPr>
        <w:pStyle w:val="21"/>
        <w:numPr>
          <w:ilvl w:val="0"/>
          <w:numId w:val="0"/>
        </w:numPr>
        <w:ind w:left="420" w:leftChars="0"/>
        <w:rPr>
          <w:rFonts w:hint="eastAsia"/>
          <w:szCs w:val="22"/>
          <w:lang w:val="en-US" w:eastAsia="zh-CN"/>
        </w:rPr>
      </w:pPr>
      <w:r>
        <w:rPr>
          <w:rFonts w:hint="eastAsia"/>
          <w:szCs w:val="22"/>
          <w:lang w:val="en-US" w:eastAsia="zh-CN"/>
        </w:rPr>
        <w:t>——定量或定性测量；</w:t>
      </w:r>
    </w:p>
    <w:p>
      <w:pPr>
        <w:pStyle w:val="21"/>
        <w:numPr>
          <w:ilvl w:val="0"/>
          <w:numId w:val="0"/>
        </w:numPr>
        <w:ind w:left="420" w:leftChars="0"/>
        <w:rPr>
          <w:rFonts w:hint="eastAsia"/>
          <w:szCs w:val="22"/>
          <w:lang w:val="en-US" w:eastAsia="zh-CN"/>
        </w:rPr>
      </w:pPr>
      <w:r>
        <w:rPr>
          <w:rFonts w:hint="eastAsia"/>
          <w:szCs w:val="22"/>
          <w:lang w:val="en-US" w:eastAsia="zh-CN"/>
        </w:rPr>
        <w:t>——过程指标的设立。</w:t>
      </w:r>
    </w:p>
    <w:p>
      <w:pPr>
        <w:pStyle w:val="21"/>
        <w:rPr>
          <w:rFonts w:hint="eastAsia"/>
          <w:szCs w:val="22"/>
          <w:lang w:val="en-US" w:eastAsia="zh-CN"/>
        </w:rPr>
      </w:pPr>
      <w:r>
        <w:rPr>
          <w:rFonts w:hint="eastAsia"/>
          <w:szCs w:val="22"/>
          <w:lang w:val="en-US" w:eastAsia="zh-CN"/>
        </w:rPr>
        <w:t>企业应保持安全与风险目标指标设立的成文信息。</w:t>
      </w:r>
    </w:p>
    <w:p>
      <w:pPr>
        <w:pStyle w:val="51"/>
        <w:numPr>
          <w:ilvl w:val="1"/>
          <w:numId w:val="0"/>
        </w:numPr>
        <w:bidi w:val="0"/>
        <w:ind w:leftChars="0"/>
        <w:rPr>
          <w:rFonts w:hint="eastAsia"/>
          <w:lang w:val="en-US" w:eastAsia="zh-CN"/>
        </w:rPr>
      </w:pPr>
      <w:bookmarkStart w:id="58" w:name="_Toc2976"/>
      <w:bookmarkStart w:id="59" w:name="_Toc29678"/>
      <w:bookmarkStart w:id="60" w:name="_Toc8960"/>
      <w:r>
        <w:rPr>
          <w:rFonts w:hint="eastAsia"/>
          <w:lang w:val="en-US" w:eastAsia="zh-CN"/>
        </w:rPr>
        <w:t>4.2.2实现</w:t>
      </w:r>
      <w:bookmarkEnd w:id="58"/>
      <w:bookmarkEnd w:id="59"/>
      <w:bookmarkEnd w:id="60"/>
    </w:p>
    <w:p>
      <w:pPr>
        <w:pStyle w:val="21"/>
        <w:rPr>
          <w:rFonts w:hint="eastAsia"/>
          <w:lang w:val="en-US" w:eastAsia="zh-CN"/>
        </w:rPr>
      </w:pPr>
      <w:r>
        <w:rPr>
          <w:rFonts w:hint="eastAsia"/>
          <w:lang w:val="en-US" w:eastAsia="zh-CN"/>
        </w:rPr>
        <w:t>企业在策划如何实现安全与风险目标指标时，应确定：</w:t>
      </w:r>
    </w:p>
    <w:p>
      <w:pPr>
        <w:pStyle w:val="21"/>
        <w:numPr>
          <w:ilvl w:val="0"/>
          <w:numId w:val="21"/>
        </w:numPr>
        <w:ind w:left="420" w:leftChars="0" w:firstLine="0" w:firstLineChars="0"/>
        <w:rPr>
          <w:rFonts w:hint="eastAsia"/>
          <w:szCs w:val="22"/>
          <w:lang w:val="en-US" w:eastAsia="zh-CN"/>
        </w:rPr>
      </w:pPr>
      <w:r>
        <w:rPr>
          <w:rFonts w:hint="eastAsia"/>
          <w:szCs w:val="22"/>
          <w:lang w:val="en-US" w:eastAsia="zh-CN"/>
        </w:rPr>
        <w:t>要做什么；</w:t>
      </w:r>
    </w:p>
    <w:p>
      <w:pPr>
        <w:pStyle w:val="21"/>
        <w:numPr>
          <w:ilvl w:val="0"/>
          <w:numId w:val="21"/>
        </w:numPr>
        <w:ind w:left="420" w:leftChars="0" w:firstLine="0" w:firstLineChars="0"/>
        <w:rPr>
          <w:rFonts w:hint="eastAsia"/>
          <w:szCs w:val="22"/>
          <w:lang w:val="en-US" w:eastAsia="zh-CN"/>
        </w:rPr>
      </w:pPr>
      <w:r>
        <w:rPr>
          <w:rFonts w:hint="eastAsia"/>
          <w:szCs w:val="22"/>
          <w:lang w:val="en-US" w:eastAsia="zh-CN"/>
        </w:rPr>
        <w:t>怎么做；</w:t>
      </w:r>
    </w:p>
    <w:p>
      <w:pPr>
        <w:pStyle w:val="21"/>
        <w:numPr>
          <w:ilvl w:val="0"/>
          <w:numId w:val="21"/>
        </w:numPr>
        <w:ind w:left="420" w:leftChars="0" w:firstLine="0" w:firstLineChars="0"/>
        <w:rPr>
          <w:rFonts w:hint="eastAsia"/>
          <w:szCs w:val="22"/>
          <w:lang w:val="en-US" w:eastAsia="zh-CN"/>
        </w:rPr>
      </w:pPr>
      <w:r>
        <w:rPr>
          <w:rFonts w:hint="eastAsia"/>
          <w:szCs w:val="22"/>
          <w:lang w:val="en-US" w:eastAsia="zh-CN"/>
        </w:rPr>
        <w:t>由谁做；</w:t>
      </w:r>
    </w:p>
    <w:p>
      <w:pPr>
        <w:pStyle w:val="21"/>
        <w:numPr>
          <w:ilvl w:val="0"/>
          <w:numId w:val="21"/>
        </w:numPr>
        <w:ind w:left="420" w:leftChars="0" w:firstLine="0" w:firstLineChars="0"/>
        <w:rPr>
          <w:rFonts w:hint="eastAsia"/>
          <w:szCs w:val="22"/>
          <w:lang w:val="en-US" w:eastAsia="zh-CN"/>
        </w:rPr>
      </w:pPr>
      <w:r>
        <w:rPr>
          <w:rFonts w:hint="eastAsia"/>
          <w:szCs w:val="22"/>
          <w:lang w:val="en-US" w:eastAsia="zh-CN"/>
        </w:rPr>
        <w:t>有哪些资源，需要什么资源；</w:t>
      </w:r>
    </w:p>
    <w:p>
      <w:pPr>
        <w:pStyle w:val="21"/>
        <w:numPr>
          <w:ilvl w:val="0"/>
          <w:numId w:val="21"/>
        </w:numPr>
        <w:ind w:left="420" w:leftChars="0" w:firstLine="0" w:firstLineChars="0"/>
        <w:rPr>
          <w:rFonts w:hint="eastAsia"/>
          <w:szCs w:val="22"/>
          <w:lang w:val="en-US" w:eastAsia="zh-CN"/>
        </w:rPr>
      </w:pPr>
      <w:r>
        <w:rPr>
          <w:rFonts w:hint="eastAsia"/>
          <w:szCs w:val="22"/>
          <w:lang w:val="en-US" w:eastAsia="zh-CN"/>
        </w:rPr>
        <w:t>何时完成；</w:t>
      </w:r>
    </w:p>
    <w:p>
      <w:pPr>
        <w:pStyle w:val="21"/>
        <w:numPr>
          <w:ilvl w:val="0"/>
          <w:numId w:val="21"/>
        </w:numPr>
        <w:ind w:left="420" w:leftChars="0" w:firstLine="0" w:firstLineChars="0"/>
        <w:rPr>
          <w:rFonts w:hint="eastAsia"/>
          <w:szCs w:val="22"/>
          <w:lang w:val="en-US" w:eastAsia="zh-CN"/>
        </w:rPr>
      </w:pPr>
      <w:r>
        <w:rPr>
          <w:rFonts w:hint="eastAsia"/>
          <w:szCs w:val="22"/>
          <w:lang w:val="en-US" w:eastAsia="zh-CN"/>
        </w:rPr>
        <w:t>如何检查；</w:t>
      </w:r>
    </w:p>
    <w:p>
      <w:pPr>
        <w:pStyle w:val="21"/>
        <w:numPr>
          <w:ilvl w:val="0"/>
          <w:numId w:val="21"/>
        </w:numPr>
        <w:ind w:left="420" w:leftChars="0" w:firstLine="0" w:firstLineChars="0"/>
        <w:rPr>
          <w:rFonts w:hint="eastAsia"/>
          <w:szCs w:val="22"/>
          <w:lang w:val="en-US" w:eastAsia="zh-CN"/>
        </w:rPr>
      </w:pPr>
      <w:r>
        <w:rPr>
          <w:rFonts w:hint="eastAsia"/>
          <w:szCs w:val="22"/>
          <w:lang w:val="en-US" w:eastAsia="zh-CN"/>
        </w:rPr>
        <w:t>如何评价。</w:t>
      </w:r>
    </w:p>
    <w:p>
      <w:pPr>
        <w:pStyle w:val="21"/>
        <w:numPr>
          <w:ilvl w:val="0"/>
          <w:numId w:val="0"/>
        </w:numPr>
        <w:ind w:left="420" w:leftChars="0"/>
        <w:rPr>
          <w:rFonts w:hint="eastAsia"/>
          <w:szCs w:val="22"/>
          <w:lang w:val="en-US" w:eastAsia="zh-CN"/>
        </w:rPr>
      </w:pPr>
      <w:r>
        <w:rPr>
          <w:rFonts w:hint="eastAsia"/>
          <w:szCs w:val="22"/>
          <w:lang w:val="en-US" w:eastAsia="zh-CN"/>
        </w:rPr>
        <w:t>企业应保持安全与风险目标指标实现的成文信息。</w:t>
      </w:r>
    </w:p>
    <w:p>
      <w:pPr>
        <w:pStyle w:val="51"/>
        <w:bidi w:val="0"/>
        <w:ind w:left="0" w:leftChars="0" w:firstLine="0" w:firstLineChars="0"/>
        <w:rPr>
          <w:rFonts w:hint="eastAsia"/>
          <w:lang w:val="en-US" w:eastAsia="zh-CN"/>
        </w:rPr>
      </w:pPr>
      <w:bookmarkStart w:id="61" w:name="_Toc32705"/>
      <w:bookmarkStart w:id="62" w:name="_Toc2388"/>
      <w:bookmarkStart w:id="63" w:name="_Toc29276"/>
      <w:r>
        <w:rPr>
          <w:rFonts w:hint="eastAsia"/>
          <w:lang w:val="en-US" w:eastAsia="zh-CN"/>
        </w:rPr>
        <w:t>合规申明</w:t>
      </w:r>
      <w:bookmarkEnd w:id="61"/>
      <w:bookmarkEnd w:id="62"/>
      <w:bookmarkEnd w:id="63"/>
    </w:p>
    <w:p>
      <w:pPr>
        <w:pStyle w:val="51"/>
        <w:numPr>
          <w:ilvl w:val="1"/>
          <w:numId w:val="0"/>
        </w:numPr>
        <w:bidi w:val="0"/>
        <w:ind w:leftChars="0"/>
        <w:rPr>
          <w:rFonts w:hint="eastAsia"/>
          <w:lang w:val="en-US" w:eastAsia="zh-CN"/>
        </w:rPr>
      </w:pPr>
      <w:bookmarkStart w:id="64" w:name="_Toc11859"/>
      <w:bookmarkStart w:id="65" w:name="_Toc18654"/>
      <w:bookmarkStart w:id="66" w:name="_Toc29300"/>
      <w:r>
        <w:rPr>
          <w:rFonts w:hint="eastAsia"/>
          <w:lang w:val="en-US" w:eastAsia="zh-CN"/>
        </w:rPr>
        <w:t>4.3.1合规义务</w:t>
      </w:r>
      <w:bookmarkEnd w:id="64"/>
      <w:bookmarkEnd w:id="65"/>
      <w:bookmarkEnd w:id="66"/>
    </w:p>
    <w:p>
      <w:pPr>
        <w:pStyle w:val="21"/>
        <w:rPr>
          <w:szCs w:val="22"/>
        </w:rPr>
      </w:pPr>
      <w:bookmarkStart w:id="67" w:name="_Toc24768"/>
      <w:r>
        <w:rPr>
          <w:rFonts w:hint="eastAsia"/>
          <w:szCs w:val="22"/>
        </w:rPr>
        <w:t>企业应建立、实施和保持安全与风险综合管理体系过程合规，确保对所有相关的合规义务的依从，应确定：</w:t>
      </w:r>
    </w:p>
    <w:p>
      <w:pPr>
        <w:pStyle w:val="21"/>
        <w:numPr>
          <w:ilvl w:val="0"/>
          <w:numId w:val="22"/>
        </w:numPr>
        <w:ind w:left="420" w:firstLine="0" w:firstLineChars="0"/>
        <w:rPr>
          <w:szCs w:val="22"/>
        </w:rPr>
      </w:pPr>
      <w:r>
        <w:rPr>
          <w:rFonts w:hint="eastAsia"/>
          <w:szCs w:val="22"/>
        </w:rPr>
        <w:t>获取最新的适用于企业的安全、与安全有关的风险、隐患等有关的合规义务；</w:t>
      </w:r>
    </w:p>
    <w:p>
      <w:pPr>
        <w:pStyle w:val="21"/>
        <w:numPr>
          <w:ilvl w:val="0"/>
          <w:numId w:val="22"/>
        </w:numPr>
        <w:ind w:left="420" w:firstLine="0" w:firstLineChars="0"/>
        <w:rPr>
          <w:szCs w:val="22"/>
        </w:rPr>
      </w:pPr>
      <w:r>
        <w:rPr>
          <w:rFonts w:hint="eastAsia"/>
          <w:szCs w:val="22"/>
        </w:rPr>
        <w:t>如何将这些合规义务应用于</w:t>
      </w:r>
      <w:r>
        <w:rPr>
          <w:rFonts w:hint="eastAsia"/>
          <w:szCs w:val="22"/>
          <w:lang w:val="en-US" w:eastAsia="zh-CN"/>
        </w:rPr>
        <w:t>企业</w:t>
      </w:r>
      <w:r>
        <w:rPr>
          <w:rFonts w:hint="eastAsia"/>
          <w:szCs w:val="22"/>
        </w:rPr>
        <w:t>的生产经营活动；</w:t>
      </w:r>
    </w:p>
    <w:p>
      <w:pPr>
        <w:pStyle w:val="21"/>
        <w:numPr>
          <w:ilvl w:val="0"/>
          <w:numId w:val="22"/>
        </w:numPr>
        <w:ind w:left="420" w:firstLine="0" w:firstLineChars="0"/>
        <w:rPr>
          <w:rFonts w:hint="eastAsia"/>
          <w:szCs w:val="22"/>
        </w:rPr>
      </w:pPr>
      <w:r>
        <w:rPr>
          <w:rFonts w:hint="eastAsia"/>
          <w:szCs w:val="22"/>
        </w:rPr>
        <w:t>在建立、实施、保持和持续改进安全生产管理时必须考虑这些合规义务。</w:t>
      </w:r>
    </w:p>
    <w:p>
      <w:pPr>
        <w:pStyle w:val="21"/>
        <w:rPr>
          <w:rFonts w:hint="eastAsia"/>
          <w:szCs w:val="22"/>
          <w:lang w:val="en-US" w:eastAsia="zh-CN"/>
        </w:rPr>
      </w:pPr>
      <w:r>
        <w:rPr>
          <w:rFonts w:hint="eastAsia"/>
          <w:szCs w:val="22"/>
          <w:lang w:val="en-US" w:eastAsia="zh-CN"/>
        </w:rPr>
        <w:t>企业应保持合规义务的成文信息。</w:t>
      </w:r>
    </w:p>
    <w:p>
      <w:pPr>
        <w:pStyle w:val="51"/>
        <w:numPr>
          <w:ilvl w:val="1"/>
          <w:numId w:val="0"/>
        </w:numPr>
        <w:bidi w:val="0"/>
        <w:ind w:leftChars="0"/>
        <w:rPr>
          <w:rFonts w:hint="default"/>
          <w:lang w:val="en-US" w:eastAsia="zh-CN"/>
        </w:rPr>
      </w:pPr>
      <w:bookmarkStart w:id="68" w:name="_Toc22132"/>
      <w:bookmarkStart w:id="69" w:name="_Toc23309"/>
      <w:r>
        <w:rPr>
          <w:rFonts w:hint="eastAsia"/>
          <w:lang w:val="en-US" w:eastAsia="zh-CN"/>
        </w:rPr>
        <w:t>4.3.2合规性评价</w:t>
      </w:r>
      <w:bookmarkEnd w:id="67"/>
      <w:bookmarkEnd w:id="68"/>
      <w:bookmarkEnd w:id="69"/>
    </w:p>
    <w:p>
      <w:pPr>
        <w:pStyle w:val="21"/>
        <w:rPr>
          <w:szCs w:val="22"/>
        </w:rPr>
      </w:pPr>
      <w:bookmarkStart w:id="70" w:name="_Toc21578"/>
      <w:r>
        <w:rPr>
          <w:rFonts w:hint="eastAsia"/>
          <w:szCs w:val="22"/>
        </w:rPr>
        <w:t>企业应建立、实施和保持评价其合规义务履行状况所需的过程，应：</w:t>
      </w:r>
    </w:p>
    <w:p>
      <w:pPr>
        <w:pStyle w:val="21"/>
        <w:numPr>
          <w:ilvl w:val="0"/>
          <w:numId w:val="23"/>
        </w:numPr>
        <w:ind w:left="420" w:firstLine="0" w:firstLineChars="0"/>
        <w:rPr>
          <w:szCs w:val="22"/>
        </w:rPr>
      </w:pPr>
      <w:r>
        <w:rPr>
          <w:rFonts w:hint="eastAsia"/>
          <w:szCs w:val="22"/>
        </w:rPr>
        <w:t>确定实施合规性评价的频次；</w:t>
      </w:r>
    </w:p>
    <w:p>
      <w:pPr>
        <w:pStyle w:val="21"/>
        <w:numPr>
          <w:ilvl w:val="0"/>
          <w:numId w:val="23"/>
        </w:numPr>
        <w:ind w:left="420" w:firstLine="0" w:firstLineChars="0"/>
        <w:rPr>
          <w:szCs w:val="22"/>
        </w:rPr>
      </w:pPr>
      <w:r>
        <w:rPr>
          <w:rFonts w:hint="eastAsia"/>
          <w:szCs w:val="22"/>
        </w:rPr>
        <w:t>合规性评价时采取的措施；</w:t>
      </w:r>
    </w:p>
    <w:p>
      <w:pPr>
        <w:pStyle w:val="21"/>
        <w:numPr>
          <w:ilvl w:val="0"/>
          <w:numId w:val="23"/>
        </w:numPr>
        <w:ind w:left="420" w:firstLine="0" w:firstLineChars="0"/>
        <w:rPr>
          <w:szCs w:val="22"/>
        </w:rPr>
      </w:pPr>
      <w:r>
        <w:rPr>
          <w:rFonts w:hint="eastAsia"/>
          <w:szCs w:val="22"/>
        </w:rPr>
        <w:t>保持其合规状况的知识和对其合规状况的理解。</w:t>
      </w:r>
    </w:p>
    <w:p>
      <w:pPr>
        <w:pStyle w:val="21"/>
        <w:rPr>
          <w:szCs w:val="22"/>
        </w:rPr>
      </w:pPr>
      <w:r>
        <w:rPr>
          <w:rFonts w:hint="eastAsia"/>
          <w:szCs w:val="22"/>
        </w:rPr>
        <w:t>企业应保持合规性</w:t>
      </w:r>
      <w:r>
        <w:rPr>
          <w:rFonts w:hint="eastAsia"/>
          <w:szCs w:val="22"/>
          <w:lang w:val="en-US" w:eastAsia="zh-CN"/>
        </w:rPr>
        <w:t>评价的</w:t>
      </w:r>
      <w:r>
        <w:rPr>
          <w:rFonts w:hint="eastAsia"/>
          <w:szCs w:val="22"/>
        </w:rPr>
        <w:t>成文信息，并作为合规申报的依据。</w:t>
      </w:r>
    </w:p>
    <w:p>
      <w:pPr>
        <w:pStyle w:val="51"/>
        <w:bidi w:val="0"/>
        <w:ind w:left="0" w:leftChars="0" w:firstLine="0" w:firstLineChars="0"/>
        <w:rPr>
          <w:rFonts w:hint="eastAsia"/>
          <w:lang w:val="en-US" w:eastAsia="zh-CN"/>
        </w:rPr>
      </w:pPr>
      <w:bookmarkStart w:id="71" w:name="_Toc14925"/>
      <w:bookmarkStart w:id="72" w:name="_Toc22205"/>
      <w:r>
        <w:rPr>
          <w:rFonts w:hint="eastAsia"/>
          <w:lang w:val="en-US" w:eastAsia="zh-CN"/>
        </w:rPr>
        <w:t>管理体系建立</w:t>
      </w:r>
      <w:bookmarkEnd w:id="70"/>
      <w:r>
        <w:rPr>
          <w:rFonts w:hint="eastAsia"/>
          <w:lang w:val="en-US" w:eastAsia="zh-CN"/>
        </w:rPr>
        <w:t>与运行</w:t>
      </w:r>
      <w:bookmarkEnd w:id="71"/>
      <w:bookmarkEnd w:id="72"/>
    </w:p>
    <w:p>
      <w:pPr>
        <w:pStyle w:val="51"/>
        <w:numPr>
          <w:ilvl w:val="1"/>
          <w:numId w:val="0"/>
        </w:numPr>
        <w:bidi w:val="0"/>
        <w:ind w:leftChars="0"/>
        <w:rPr>
          <w:rFonts w:hint="default"/>
          <w:lang w:val="en-US" w:eastAsia="zh-CN"/>
        </w:rPr>
      </w:pPr>
      <w:bookmarkStart w:id="73" w:name="_Toc26917"/>
      <w:bookmarkStart w:id="74" w:name="_Toc7303"/>
      <w:bookmarkStart w:id="75" w:name="_Toc19468"/>
      <w:r>
        <w:rPr>
          <w:rFonts w:hint="eastAsia"/>
          <w:lang w:val="en-US" w:eastAsia="zh-CN"/>
        </w:rPr>
        <w:t>4.4.1环境分析</w:t>
      </w:r>
      <w:bookmarkEnd w:id="73"/>
      <w:bookmarkEnd w:id="74"/>
      <w:bookmarkEnd w:id="75"/>
    </w:p>
    <w:p>
      <w:pPr>
        <w:pStyle w:val="21"/>
        <w:rPr>
          <w:rFonts w:hint="eastAsia"/>
          <w:lang w:val="en-US" w:eastAsia="zh-CN"/>
        </w:rPr>
      </w:pPr>
      <w:r>
        <w:rPr>
          <w:rFonts w:hint="eastAsia"/>
          <w:lang w:val="en-US" w:eastAsia="zh-CN"/>
        </w:rPr>
        <w:t>企业应对所处的内外部环境进行分析，确定与企业安全发展战略和安全与风险方针、目标指标相关的影响安全与风险综合管理体系的关键因素，明确安全与风险综合管理体系相关方的需求与期望，界定安全与风险综合管理体系的适用范围，并对改进机会进行识别。</w:t>
      </w:r>
    </w:p>
    <w:p>
      <w:pPr>
        <w:pStyle w:val="21"/>
        <w:rPr>
          <w:rFonts w:hint="eastAsia"/>
          <w:lang w:val="en-US" w:eastAsia="zh-CN"/>
        </w:rPr>
      </w:pPr>
      <w:r>
        <w:rPr>
          <w:rFonts w:hint="eastAsia"/>
          <w:lang w:val="en-US" w:eastAsia="zh-CN"/>
        </w:rPr>
        <w:t>企业应根据安全与风险综合管理体系的范围确定安全与风险综合管理内容。</w:t>
      </w:r>
    </w:p>
    <w:p>
      <w:pPr>
        <w:pStyle w:val="51"/>
        <w:numPr>
          <w:ilvl w:val="1"/>
          <w:numId w:val="0"/>
        </w:numPr>
        <w:bidi w:val="0"/>
        <w:ind w:leftChars="0"/>
        <w:rPr>
          <w:rFonts w:hint="default"/>
          <w:lang w:val="en-US" w:eastAsia="zh-CN"/>
        </w:rPr>
      </w:pPr>
      <w:bookmarkStart w:id="76" w:name="_Toc9548"/>
      <w:bookmarkStart w:id="77" w:name="_Toc8663"/>
      <w:bookmarkStart w:id="78" w:name="_Toc28579"/>
      <w:r>
        <w:rPr>
          <w:rFonts w:hint="eastAsia"/>
          <w:lang w:val="en-US" w:eastAsia="zh-CN"/>
        </w:rPr>
        <w:t>4.4.2策划与建立</w:t>
      </w:r>
      <w:bookmarkEnd w:id="76"/>
      <w:bookmarkEnd w:id="77"/>
      <w:bookmarkEnd w:id="78"/>
    </w:p>
    <w:p>
      <w:pPr>
        <w:pStyle w:val="21"/>
        <w:rPr>
          <w:rFonts w:hint="eastAsia"/>
          <w:lang w:val="en-US" w:eastAsia="zh-CN"/>
        </w:rPr>
      </w:pPr>
      <w:r>
        <w:rPr>
          <w:rFonts w:hint="eastAsia"/>
          <w:lang w:val="en-US" w:eastAsia="zh-CN"/>
        </w:rPr>
        <w:t>企业应进行安全与风险综合管理体系的策划，确定风险应对措施，评估潜在影响，使安全与风险综合管理体系满足适宜性、充分性和有效性的要求，包括但不限于以下：</w:t>
      </w:r>
    </w:p>
    <w:p>
      <w:pPr>
        <w:pStyle w:val="21"/>
        <w:numPr>
          <w:ilvl w:val="0"/>
          <w:numId w:val="24"/>
        </w:numPr>
        <w:ind w:left="420" w:leftChars="0" w:firstLine="0" w:firstLineChars="0"/>
        <w:rPr>
          <w:rFonts w:hint="eastAsia"/>
          <w:szCs w:val="22"/>
          <w:lang w:val="en-US" w:eastAsia="zh-CN"/>
        </w:rPr>
      </w:pPr>
      <w:r>
        <w:rPr>
          <w:rFonts w:hint="eastAsia"/>
          <w:szCs w:val="22"/>
          <w:lang w:val="en-US" w:eastAsia="zh-CN"/>
        </w:rPr>
        <w:t>活动及相互关系；</w:t>
      </w:r>
    </w:p>
    <w:p>
      <w:pPr>
        <w:pStyle w:val="21"/>
        <w:numPr>
          <w:ilvl w:val="0"/>
          <w:numId w:val="24"/>
        </w:numPr>
        <w:ind w:left="420" w:leftChars="0" w:firstLine="0" w:firstLineChars="0"/>
        <w:rPr>
          <w:rFonts w:hint="eastAsia"/>
          <w:szCs w:val="22"/>
          <w:lang w:val="en-US" w:eastAsia="zh-CN"/>
        </w:rPr>
      </w:pPr>
      <w:r>
        <w:rPr>
          <w:rFonts w:hint="eastAsia"/>
          <w:szCs w:val="22"/>
          <w:lang w:val="en-US" w:eastAsia="zh-CN"/>
        </w:rPr>
        <w:t>机构与职责；</w:t>
      </w:r>
    </w:p>
    <w:p>
      <w:pPr>
        <w:pStyle w:val="21"/>
        <w:numPr>
          <w:ilvl w:val="0"/>
          <w:numId w:val="24"/>
        </w:numPr>
        <w:ind w:left="420" w:leftChars="0" w:firstLine="0" w:firstLineChars="0"/>
        <w:rPr>
          <w:rFonts w:hint="default"/>
          <w:lang w:val="en-US" w:eastAsia="zh-CN"/>
        </w:rPr>
      </w:pPr>
      <w:r>
        <w:rPr>
          <w:rFonts w:hint="eastAsia"/>
          <w:lang w:val="en-US" w:eastAsia="zh-CN"/>
        </w:rPr>
        <w:t>制度；</w:t>
      </w:r>
    </w:p>
    <w:p>
      <w:pPr>
        <w:pStyle w:val="21"/>
        <w:numPr>
          <w:ilvl w:val="0"/>
          <w:numId w:val="24"/>
        </w:numPr>
        <w:ind w:left="420" w:leftChars="0" w:firstLine="0" w:firstLineChars="0"/>
        <w:rPr>
          <w:rFonts w:hint="default"/>
          <w:lang w:val="en-US" w:eastAsia="zh-CN"/>
        </w:rPr>
      </w:pPr>
      <w:r>
        <w:rPr>
          <w:rFonts w:hint="eastAsia"/>
          <w:lang w:val="en-US" w:eastAsia="zh-CN"/>
        </w:rPr>
        <w:t>所需的资源。</w:t>
      </w:r>
    </w:p>
    <w:p>
      <w:pPr>
        <w:pStyle w:val="21"/>
        <w:numPr>
          <w:ilvl w:val="0"/>
          <w:numId w:val="0"/>
        </w:numPr>
        <w:ind w:firstLine="420" w:firstLineChars="200"/>
        <w:rPr>
          <w:rFonts w:hint="eastAsia"/>
          <w:lang w:val="en-US" w:eastAsia="zh-CN"/>
        </w:rPr>
      </w:pPr>
      <w:r>
        <w:rPr>
          <w:rFonts w:hint="eastAsia"/>
          <w:lang w:val="en-US" w:eastAsia="zh-CN"/>
        </w:rPr>
        <w:t>企业应明确安全与风险综合管理体系所需的知识，规定获取知识的渠道、方法、时机和程序，并进行知识更新。</w:t>
      </w:r>
    </w:p>
    <w:p>
      <w:pPr>
        <w:pStyle w:val="21"/>
        <w:numPr>
          <w:ilvl w:val="0"/>
          <w:numId w:val="0"/>
        </w:numPr>
        <w:ind w:firstLine="420" w:firstLineChars="200"/>
        <w:rPr>
          <w:rFonts w:hint="eastAsia"/>
          <w:lang w:val="en-US" w:eastAsia="zh-CN"/>
        </w:rPr>
      </w:pPr>
      <w:r>
        <w:rPr>
          <w:rFonts w:hint="eastAsia"/>
          <w:lang w:val="en-US" w:eastAsia="zh-CN"/>
        </w:rPr>
        <w:t>对安全与风险综合管理体系变更进行策划时，企业应识别和评价变更的风险，并保持其连续性和完整性。</w:t>
      </w:r>
    </w:p>
    <w:p>
      <w:pPr>
        <w:pStyle w:val="21"/>
        <w:numPr>
          <w:ilvl w:val="0"/>
          <w:numId w:val="0"/>
        </w:numPr>
        <w:ind w:left="420" w:leftChars="0"/>
        <w:rPr>
          <w:rFonts w:hint="eastAsia"/>
          <w:lang w:val="en-US" w:eastAsia="zh-CN"/>
        </w:rPr>
      </w:pPr>
      <w:r>
        <w:rPr>
          <w:rFonts w:hint="eastAsia"/>
          <w:lang w:val="en-US" w:eastAsia="zh-CN"/>
        </w:rPr>
        <w:t>安全与风险综合管理体系成文信息应包括下列内容：</w:t>
      </w:r>
    </w:p>
    <w:p>
      <w:pPr>
        <w:pStyle w:val="21"/>
        <w:numPr>
          <w:ilvl w:val="0"/>
          <w:numId w:val="0"/>
        </w:numPr>
        <w:ind w:left="420" w:leftChars="0"/>
        <w:rPr>
          <w:rFonts w:hint="eastAsia"/>
          <w:szCs w:val="22"/>
          <w:lang w:val="en-US" w:eastAsia="zh-CN"/>
        </w:rPr>
      </w:pPr>
      <w:r>
        <w:rPr>
          <w:rFonts w:hint="eastAsia"/>
          <w:szCs w:val="22"/>
          <w:lang w:val="en-US" w:eastAsia="zh-CN"/>
        </w:rPr>
        <w:t>——方针和目标指标；</w:t>
      </w:r>
    </w:p>
    <w:p>
      <w:pPr>
        <w:pStyle w:val="21"/>
        <w:numPr>
          <w:ilvl w:val="0"/>
          <w:numId w:val="0"/>
        </w:numPr>
        <w:ind w:left="420" w:leftChars="0"/>
        <w:rPr>
          <w:rFonts w:hint="eastAsia"/>
          <w:szCs w:val="22"/>
          <w:lang w:val="en-US" w:eastAsia="zh-CN"/>
        </w:rPr>
      </w:pPr>
      <w:r>
        <w:rPr>
          <w:rFonts w:hint="eastAsia"/>
          <w:lang w:val="en-US" w:eastAsia="zh-CN"/>
        </w:rPr>
        <w:t>——范围及说明；</w:t>
      </w:r>
    </w:p>
    <w:p>
      <w:pPr>
        <w:pStyle w:val="21"/>
        <w:numPr>
          <w:ilvl w:val="0"/>
          <w:numId w:val="0"/>
        </w:numPr>
        <w:ind w:left="420" w:leftChars="0"/>
        <w:rPr>
          <w:rFonts w:hint="eastAsia"/>
          <w:szCs w:val="22"/>
          <w:lang w:val="en-US" w:eastAsia="zh-CN"/>
        </w:rPr>
      </w:pPr>
      <w:r>
        <w:rPr>
          <w:rFonts w:hint="eastAsia"/>
          <w:lang w:val="en-US" w:eastAsia="zh-CN"/>
        </w:rPr>
        <w:t>——制度；</w:t>
      </w:r>
    </w:p>
    <w:p>
      <w:pPr>
        <w:pStyle w:val="21"/>
        <w:numPr>
          <w:ilvl w:val="0"/>
          <w:numId w:val="0"/>
        </w:numPr>
        <w:ind w:left="420" w:leftChars="0"/>
        <w:rPr>
          <w:rFonts w:hint="eastAsia"/>
          <w:szCs w:val="22"/>
          <w:lang w:val="en-US" w:eastAsia="zh-CN"/>
        </w:rPr>
      </w:pPr>
      <w:r>
        <w:rPr>
          <w:rFonts w:hint="eastAsia"/>
          <w:lang w:val="en-US" w:eastAsia="zh-CN"/>
        </w:rPr>
        <w:t>——作业文件；</w:t>
      </w:r>
    </w:p>
    <w:p>
      <w:pPr>
        <w:pStyle w:val="21"/>
        <w:numPr>
          <w:ilvl w:val="0"/>
          <w:numId w:val="0"/>
        </w:numPr>
        <w:ind w:left="420" w:leftChars="0"/>
        <w:rPr>
          <w:rFonts w:hint="eastAsia"/>
          <w:szCs w:val="22"/>
          <w:lang w:val="en-US" w:eastAsia="zh-CN"/>
        </w:rPr>
      </w:pPr>
      <w:r>
        <w:rPr>
          <w:rFonts w:hint="eastAsia"/>
          <w:lang w:val="en-US" w:eastAsia="zh-CN"/>
        </w:rPr>
        <w:t>——活动记录。</w:t>
      </w:r>
    </w:p>
    <w:p>
      <w:pPr>
        <w:pStyle w:val="51"/>
        <w:bidi w:val="0"/>
        <w:ind w:left="0" w:leftChars="0" w:firstLine="0" w:firstLineChars="0"/>
        <w:rPr>
          <w:rFonts w:hint="default"/>
          <w:lang w:val="en-US" w:eastAsia="zh-CN"/>
        </w:rPr>
      </w:pPr>
      <w:bookmarkStart w:id="79" w:name="_Toc31874"/>
      <w:bookmarkStart w:id="80" w:name="_Toc3249"/>
      <w:bookmarkStart w:id="81" w:name="_Toc11907"/>
      <w:r>
        <w:rPr>
          <w:rFonts w:hint="eastAsia"/>
          <w:lang w:val="en-US" w:eastAsia="zh-CN"/>
        </w:rPr>
        <w:t>实施和改进</w:t>
      </w:r>
      <w:bookmarkEnd w:id="79"/>
      <w:bookmarkEnd w:id="80"/>
      <w:bookmarkEnd w:id="81"/>
    </w:p>
    <w:p>
      <w:pPr>
        <w:pStyle w:val="21"/>
      </w:pPr>
      <w:r>
        <w:rPr>
          <w:rFonts w:hint="eastAsia"/>
        </w:rPr>
        <w:t>企业应确定并提供安全与风险综合管理体系运行所需的人员、技术、资金、设备、设施、信息和其他资源</w:t>
      </w:r>
      <w:r>
        <w:rPr>
          <w:rFonts w:hint="eastAsia"/>
          <w:lang w:eastAsia="zh-CN"/>
        </w:rPr>
        <w:t>，</w:t>
      </w:r>
      <w:r>
        <w:rPr>
          <w:rFonts w:hint="eastAsia"/>
        </w:rPr>
        <w:t>工程和服务所需的环境应满足要求。</w:t>
      </w:r>
    </w:p>
    <w:p>
      <w:pPr>
        <w:pStyle w:val="21"/>
      </w:pPr>
      <w:r>
        <w:rPr>
          <w:rFonts w:hint="eastAsia"/>
        </w:rPr>
        <w:t>企业应：</w:t>
      </w:r>
    </w:p>
    <w:p>
      <w:pPr>
        <w:pStyle w:val="21"/>
        <w:numPr>
          <w:ilvl w:val="0"/>
          <w:numId w:val="25"/>
        </w:numPr>
        <w:ind w:left="420" w:firstLine="0" w:firstLineChars="0"/>
        <w:rPr>
          <w:szCs w:val="22"/>
        </w:rPr>
      </w:pPr>
      <w:r>
        <w:rPr>
          <w:rFonts w:hint="eastAsia"/>
          <w:szCs w:val="22"/>
        </w:rPr>
        <w:t>汇总实施各项要求。</w:t>
      </w:r>
    </w:p>
    <w:p>
      <w:pPr>
        <w:pStyle w:val="21"/>
        <w:numPr>
          <w:ilvl w:val="0"/>
          <w:numId w:val="25"/>
        </w:numPr>
        <w:ind w:left="420" w:firstLine="0" w:firstLineChars="0"/>
        <w:rPr>
          <w:szCs w:val="22"/>
        </w:rPr>
      </w:pPr>
      <w:r>
        <w:rPr>
          <w:rFonts w:hint="eastAsia"/>
          <w:szCs w:val="22"/>
        </w:rPr>
        <w:t>建立</w:t>
      </w:r>
      <w:r>
        <w:rPr>
          <w:rFonts w:hint="eastAsia"/>
          <w:szCs w:val="22"/>
          <w:lang w:val="en-US" w:eastAsia="zh-CN"/>
        </w:rPr>
        <w:t>因素</w:t>
      </w:r>
      <w:r>
        <w:rPr>
          <w:rFonts w:hint="eastAsia"/>
          <w:szCs w:val="22"/>
        </w:rPr>
        <w:t>辨识与</w:t>
      </w:r>
      <w:r>
        <w:rPr>
          <w:rFonts w:hint="eastAsia"/>
          <w:szCs w:val="22"/>
          <w:lang w:val="en-US" w:eastAsia="zh-CN"/>
        </w:rPr>
        <w:t>风险</w:t>
      </w:r>
      <w:r>
        <w:rPr>
          <w:rFonts w:hint="eastAsia"/>
          <w:szCs w:val="22"/>
        </w:rPr>
        <w:t>评价、风险分级管控、隐患排查治理、检查和监督机制。</w:t>
      </w:r>
    </w:p>
    <w:p>
      <w:pPr>
        <w:pStyle w:val="21"/>
        <w:numPr>
          <w:ilvl w:val="0"/>
          <w:numId w:val="25"/>
        </w:numPr>
        <w:ind w:left="420" w:firstLine="0" w:firstLineChars="0"/>
        <w:rPr>
          <w:rFonts w:hint="default"/>
          <w:szCs w:val="22"/>
          <w:lang w:val="en-US" w:eastAsia="zh-CN"/>
        </w:rPr>
      </w:pPr>
      <w:r>
        <w:rPr>
          <w:rFonts w:hint="eastAsia"/>
          <w:szCs w:val="22"/>
        </w:rPr>
        <w:t>评审和改进安全与风险综合管理体系的有效性和效率。</w:t>
      </w:r>
    </w:p>
    <w:p>
      <w:pPr>
        <w:pStyle w:val="51"/>
        <w:bidi w:val="0"/>
        <w:ind w:left="0" w:leftChars="0" w:firstLine="0" w:firstLineChars="0"/>
        <w:rPr>
          <w:rFonts w:hint="eastAsia"/>
          <w:lang w:val="en-US" w:eastAsia="zh-CN"/>
        </w:rPr>
      </w:pPr>
      <w:bookmarkStart w:id="82" w:name="_Toc10378"/>
      <w:r>
        <w:rPr>
          <w:rFonts w:hint="eastAsia"/>
          <w:lang w:val="en-US" w:eastAsia="zh-CN"/>
        </w:rPr>
        <w:t>成文信息</w:t>
      </w:r>
      <w:bookmarkEnd w:id="82"/>
    </w:p>
    <w:p>
      <w:pPr>
        <w:pStyle w:val="51"/>
        <w:numPr>
          <w:ilvl w:val="1"/>
          <w:numId w:val="0"/>
        </w:numPr>
        <w:bidi w:val="0"/>
        <w:ind w:leftChars="0"/>
        <w:rPr>
          <w:rFonts w:hint="default"/>
          <w:lang w:val="en-US" w:eastAsia="zh-CN"/>
        </w:rPr>
      </w:pPr>
      <w:bookmarkStart w:id="83" w:name="_Toc30638"/>
      <w:bookmarkStart w:id="84" w:name="_Toc26900"/>
      <w:bookmarkStart w:id="85" w:name="_Toc20854"/>
      <w:r>
        <w:rPr>
          <w:rFonts w:hint="eastAsia"/>
          <w:lang w:val="en-US" w:eastAsia="zh-CN"/>
        </w:rPr>
        <w:t>4.6.1</w:t>
      </w:r>
      <w:bookmarkEnd w:id="83"/>
      <w:bookmarkEnd w:id="84"/>
      <w:r>
        <w:rPr>
          <w:rFonts w:hint="eastAsia"/>
          <w:lang w:val="en-US" w:eastAsia="zh-CN"/>
        </w:rPr>
        <w:t>创建和更新</w:t>
      </w:r>
      <w:bookmarkEnd w:id="85"/>
    </w:p>
    <w:p>
      <w:pPr>
        <w:pStyle w:val="21"/>
        <w:rPr>
          <w:rFonts w:hint="eastAsia"/>
          <w:szCs w:val="22"/>
          <w:lang w:val="en-US" w:eastAsia="zh-CN"/>
        </w:rPr>
      </w:pPr>
      <w:r>
        <w:rPr>
          <w:rFonts w:hint="eastAsia"/>
          <w:szCs w:val="22"/>
          <w:lang w:val="en-US" w:eastAsia="zh-CN"/>
        </w:rPr>
        <w:t>企业的安全与风险综合管理体系应包括：</w:t>
      </w:r>
    </w:p>
    <w:p>
      <w:pPr>
        <w:pStyle w:val="21"/>
        <w:numPr>
          <w:ilvl w:val="0"/>
          <w:numId w:val="26"/>
        </w:numPr>
        <w:ind w:left="420" w:leftChars="0" w:firstLine="0" w:firstLineChars="0"/>
        <w:rPr>
          <w:rFonts w:hint="eastAsia"/>
          <w:szCs w:val="22"/>
          <w:lang w:val="en-US" w:eastAsia="zh-CN"/>
        </w:rPr>
      </w:pPr>
      <w:r>
        <w:rPr>
          <w:rFonts w:hint="eastAsia"/>
          <w:szCs w:val="22"/>
          <w:lang w:val="en-US" w:eastAsia="zh-CN"/>
        </w:rPr>
        <w:t>本标准要求的成文信息；</w:t>
      </w:r>
    </w:p>
    <w:p>
      <w:pPr>
        <w:pStyle w:val="21"/>
        <w:numPr>
          <w:ilvl w:val="0"/>
          <w:numId w:val="26"/>
        </w:numPr>
        <w:ind w:left="420" w:leftChars="0" w:firstLine="0" w:firstLineChars="0"/>
        <w:rPr>
          <w:rFonts w:hint="eastAsia"/>
          <w:szCs w:val="22"/>
          <w:lang w:val="en-US" w:eastAsia="zh-CN"/>
        </w:rPr>
      </w:pPr>
      <w:r>
        <w:rPr>
          <w:rFonts w:hint="eastAsia"/>
          <w:szCs w:val="22"/>
          <w:lang w:val="en-US" w:eastAsia="zh-CN"/>
        </w:rPr>
        <w:t xml:space="preserve">企业确定的实现安全与风险综合管理体系有效性所必需的成文信息。   </w:t>
      </w:r>
    </w:p>
    <w:p>
      <w:pPr>
        <w:pStyle w:val="21"/>
        <w:rPr>
          <w:rFonts w:hint="eastAsia"/>
          <w:szCs w:val="22"/>
          <w:lang w:val="en-US" w:eastAsia="zh-CN"/>
        </w:rPr>
      </w:pPr>
      <w:r>
        <w:rPr>
          <w:rFonts w:hint="eastAsia"/>
          <w:szCs w:val="22"/>
          <w:lang w:val="en-US" w:eastAsia="zh-CN"/>
        </w:rPr>
        <w:t>注：不同企业的安全与风险综合管理体系成文信息的复杂程度可能不同，取决于：</w:t>
      </w:r>
    </w:p>
    <w:p>
      <w:pPr>
        <w:pStyle w:val="21"/>
        <w:rPr>
          <w:rFonts w:hint="eastAsia"/>
          <w:szCs w:val="22"/>
          <w:lang w:val="en-US" w:eastAsia="zh-CN"/>
        </w:rPr>
      </w:pPr>
      <w:r>
        <w:rPr>
          <w:rFonts w:hint="eastAsia"/>
          <w:szCs w:val="22"/>
          <w:lang w:val="en-US" w:eastAsia="zh-CN"/>
        </w:rPr>
        <w:t>——企业的规模及其活动、过程、产品和服务的类型；</w:t>
      </w:r>
    </w:p>
    <w:p>
      <w:pPr>
        <w:pStyle w:val="21"/>
        <w:rPr>
          <w:rFonts w:hint="eastAsia"/>
          <w:szCs w:val="22"/>
          <w:lang w:val="en-US" w:eastAsia="zh-CN"/>
        </w:rPr>
      </w:pPr>
      <w:r>
        <w:rPr>
          <w:rFonts w:hint="eastAsia"/>
          <w:szCs w:val="22"/>
          <w:lang w:val="en-US" w:eastAsia="zh-CN"/>
        </w:rPr>
        <w:t>——证明履行其合规义务的需要；</w:t>
      </w:r>
    </w:p>
    <w:p>
      <w:pPr>
        <w:pStyle w:val="21"/>
        <w:rPr>
          <w:rFonts w:hint="eastAsia"/>
          <w:szCs w:val="22"/>
          <w:lang w:val="en-US" w:eastAsia="zh-CN"/>
        </w:rPr>
      </w:pPr>
      <w:r>
        <w:rPr>
          <w:rFonts w:hint="eastAsia"/>
          <w:szCs w:val="22"/>
          <w:lang w:val="en-US" w:eastAsia="zh-CN"/>
        </w:rPr>
        <w:t>——过程的复杂性及其相互作用；</w:t>
      </w:r>
    </w:p>
    <w:p>
      <w:pPr>
        <w:pStyle w:val="21"/>
        <w:rPr>
          <w:rFonts w:hint="eastAsia"/>
          <w:szCs w:val="22"/>
          <w:lang w:val="en-US" w:eastAsia="zh-CN"/>
        </w:rPr>
      </w:pPr>
      <w:r>
        <w:rPr>
          <w:rFonts w:hint="eastAsia"/>
          <w:szCs w:val="22"/>
          <w:lang w:val="en-US" w:eastAsia="zh-CN"/>
        </w:rPr>
        <w:t>——在企业控制下工作的人员的能力。</w:t>
      </w:r>
    </w:p>
    <w:p>
      <w:pPr>
        <w:pStyle w:val="21"/>
        <w:rPr>
          <w:rFonts w:hint="eastAsia"/>
          <w:szCs w:val="22"/>
          <w:lang w:val="en-US" w:eastAsia="zh-CN"/>
        </w:rPr>
      </w:pPr>
      <w:r>
        <w:rPr>
          <w:rFonts w:hint="eastAsia"/>
          <w:szCs w:val="22"/>
          <w:lang w:val="en-US" w:eastAsia="zh-CN"/>
        </w:rPr>
        <w:t>创建和更新成文信息时，企业应确保适当的：</w:t>
      </w:r>
    </w:p>
    <w:p>
      <w:pPr>
        <w:pStyle w:val="21"/>
        <w:numPr>
          <w:ilvl w:val="0"/>
          <w:numId w:val="0"/>
        </w:numPr>
        <w:ind w:left="420" w:leftChars="0"/>
        <w:rPr>
          <w:rFonts w:hint="eastAsia"/>
          <w:szCs w:val="22"/>
          <w:lang w:val="en-US" w:eastAsia="zh-CN"/>
        </w:rPr>
      </w:pPr>
      <w:r>
        <w:rPr>
          <w:rFonts w:hint="eastAsia"/>
          <w:szCs w:val="22"/>
          <w:lang w:val="en-US" w:eastAsia="zh-CN"/>
        </w:rPr>
        <w:t>——标识和说明（例如：标题、日期、作者或参考文件编号）；</w:t>
      </w:r>
    </w:p>
    <w:p>
      <w:pPr>
        <w:pStyle w:val="21"/>
        <w:numPr>
          <w:ilvl w:val="0"/>
          <w:numId w:val="0"/>
        </w:numPr>
        <w:ind w:left="420" w:leftChars="0"/>
        <w:rPr>
          <w:rFonts w:hint="eastAsia"/>
          <w:szCs w:val="22"/>
          <w:lang w:val="en-US" w:eastAsia="zh-CN"/>
        </w:rPr>
      </w:pPr>
      <w:r>
        <w:rPr>
          <w:rFonts w:hint="eastAsia"/>
          <w:szCs w:val="22"/>
          <w:lang w:val="en-US" w:eastAsia="zh-CN"/>
        </w:rPr>
        <w:t>——形式（例如：语言文字、软件版本、图表）和载体（例如：纸质的、电子的）；</w:t>
      </w:r>
    </w:p>
    <w:p>
      <w:pPr>
        <w:pStyle w:val="21"/>
        <w:numPr>
          <w:ilvl w:val="0"/>
          <w:numId w:val="0"/>
        </w:numPr>
        <w:ind w:left="420" w:leftChars="0"/>
        <w:rPr>
          <w:rFonts w:hint="default"/>
          <w:szCs w:val="22"/>
          <w:lang w:val="en-US" w:eastAsia="zh-CN"/>
        </w:rPr>
      </w:pPr>
      <w:r>
        <w:rPr>
          <w:rFonts w:hint="eastAsia"/>
          <w:szCs w:val="22"/>
          <w:lang w:val="en-US" w:eastAsia="zh-CN"/>
        </w:rPr>
        <w:t>——评审和批准，以确保适宜性和充分性。</w:t>
      </w:r>
    </w:p>
    <w:p>
      <w:pPr>
        <w:pStyle w:val="51"/>
        <w:numPr>
          <w:ilvl w:val="1"/>
          <w:numId w:val="0"/>
        </w:numPr>
        <w:bidi w:val="0"/>
        <w:ind w:leftChars="0"/>
        <w:rPr>
          <w:rFonts w:hint="default"/>
          <w:lang w:val="en-US" w:eastAsia="zh-CN"/>
        </w:rPr>
      </w:pPr>
      <w:bookmarkStart w:id="86" w:name="_Toc31029"/>
      <w:bookmarkStart w:id="87" w:name="_Toc8410"/>
      <w:bookmarkStart w:id="88" w:name="_Toc28651"/>
      <w:r>
        <w:rPr>
          <w:rFonts w:hint="eastAsia"/>
          <w:lang w:val="en-US" w:eastAsia="zh-CN"/>
        </w:rPr>
        <w:t>4.6.2管控</w:t>
      </w:r>
      <w:bookmarkEnd w:id="86"/>
      <w:bookmarkEnd w:id="87"/>
      <w:bookmarkEnd w:id="88"/>
    </w:p>
    <w:p>
      <w:pPr>
        <w:pStyle w:val="21"/>
        <w:rPr>
          <w:rFonts w:hint="eastAsia"/>
          <w:szCs w:val="22"/>
          <w:lang w:val="en-US" w:eastAsia="zh-CN"/>
        </w:rPr>
      </w:pPr>
      <w:r>
        <w:rPr>
          <w:rFonts w:hint="eastAsia"/>
          <w:szCs w:val="22"/>
          <w:lang w:val="en-US" w:eastAsia="zh-CN"/>
        </w:rPr>
        <w:t>安全与风险综合管理体系要求的成文信息应予以控制，以确保其：</w:t>
      </w:r>
    </w:p>
    <w:p>
      <w:pPr>
        <w:pStyle w:val="21"/>
        <w:numPr>
          <w:ilvl w:val="0"/>
          <w:numId w:val="27"/>
        </w:numPr>
        <w:ind w:left="420" w:leftChars="0" w:firstLine="0" w:firstLineChars="0"/>
        <w:rPr>
          <w:rFonts w:hint="eastAsia"/>
          <w:szCs w:val="22"/>
          <w:lang w:val="en-US" w:eastAsia="zh-CN"/>
        </w:rPr>
      </w:pPr>
      <w:r>
        <w:rPr>
          <w:rFonts w:hint="eastAsia"/>
          <w:szCs w:val="22"/>
          <w:lang w:val="en-US" w:eastAsia="zh-CN"/>
        </w:rPr>
        <w:t>在需要的时间和场所均可获得并适用；</w:t>
      </w:r>
    </w:p>
    <w:p>
      <w:pPr>
        <w:pStyle w:val="21"/>
        <w:numPr>
          <w:ilvl w:val="0"/>
          <w:numId w:val="27"/>
        </w:numPr>
        <w:ind w:left="420" w:leftChars="0" w:firstLine="0" w:firstLineChars="0"/>
        <w:rPr>
          <w:rFonts w:hint="eastAsia"/>
          <w:szCs w:val="22"/>
          <w:lang w:val="en-US" w:eastAsia="zh-CN"/>
        </w:rPr>
      </w:pPr>
      <w:r>
        <w:rPr>
          <w:rFonts w:hint="eastAsia"/>
          <w:szCs w:val="22"/>
          <w:lang w:val="en-US" w:eastAsia="zh-CN"/>
        </w:rPr>
        <w:t>得到充分的保护（例如：防止失密、不当使用或完整性受损）。</w:t>
      </w:r>
    </w:p>
    <w:p>
      <w:pPr>
        <w:pStyle w:val="21"/>
        <w:rPr>
          <w:rFonts w:hint="eastAsia"/>
          <w:lang w:val="en-US" w:eastAsia="zh-CN"/>
        </w:rPr>
      </w:pPr>
      <w:r>
        <w:rPr>
          <w:rFonts w:hint="eastAsia"/>
          <w:lang w:val="en-US" w:eastAsia="zh-CN"/>
        </w:rPr>
        <w:t>为了控制成文信息，企业应进行以下适当的行动：</w:t>
      </w:r>
    </w:p>
    <w:p>
      <w:pPr>
        <w:pStyle w:val="21"/>
        <w:rPr>
          <w:rFonts w:hint="eastAsia"/>
          <w:lang w:val="en-US" w:eastAsia="zh-CN"/>
        </w:rPr>
      </w:pPr>
      <w:r>
        <w:rPr>
          <w:rFonts w:hint="eastAsia"/>
          <w:lang w:val="en-US" w:eastAsia="zh-CN"/>
        </w:rPr>
        <w:t>——分发、访问、检索和使用；</w:t>
      </w:r>
    </w:p>
    <w:p>
      <w:pPr>
        <w:pStyle w:val="21"/>
        <w:rPr>
          <w:rFonts w:hint="eastAsia"/>
          <w:lang w:val="en-US" w:eastAsia="zh-CN"/>
        </w:rPr>
      </w:pPr>
      <w:r>
        <w:rPr>
          <w:rFonts w:hint="eastAsia"/>
          <w:lang w:val="en-US" w:eastAsia="zh-CN"/>
        </w:rPr>
        <w:t>——存储和保护，包括保持易读性；</w:t>
      </w:r>
    </w:p>
    <w:p>
      <w:pPr>
        <w:pStyle w:val="21"/>
        <w:rPr>
          <w:rFonts w:hint="eastAsia"/>
          <w:lang w:val="en-US" w:eastAsia="zh-CN"/>
        </w:rPr>
      </w:pPr>
      <w:r>
        <w:rPr>
          <w:rFonts w:hint="eastAsia"/>
          <w:lang w:val="en-US" w:eastAsia="zh-CN"/>
        </w:rPr>
        <w:t>——变更的控制（例如：版本控制）；</w:t>
      </w:r>
    </w:p>
    <w:p>
      <w:pPr>
        <w:pStyle w:val="21"/>
        <w:rPr>
          <w:rFonts w:hint="eastAsia"/>
          <w:lang w:val="en-US" w:eastAsia="zh-CN"/>
        </w:rPr>
      </w:pPr>
      <w:r>
        <w:rPr>
          <w:rFonts w:hint="eastAsia"/>
          <w:lang w:val="en-US" w:eastAsia="zh-CN"/>
        </w:rPr>
        <w:t>——保留和处置。</w:t>
      </w:r>
    </w:p>
    <w:p>
      <w:pPr>
        <w:pStyle w:val="21"/>
        <w:rPr>
          <w:rFonts w:hint="eastAsia"/>
          <w:lang w:val="en-US" w:eastAsia="zh-CN"/>
        </w:rPr>
      </w:pPr>
      <w:r>
        <w:rPr>
          <w:rFonts w:hint="eastAsia"/>
          <w:lang w:val="en-US" w:eastAsia="zh-CN"/>
        </w:rPr>
        <w:t>企业应识别其确定的安全与风险综合管理体系策划和运行所需的来自外部的成文信息，适当时，应对其予以控制。</w:t>
      </w:r>
    </w:p>
    <w:p>
      <w:pPr>
        <w:pStyle w:val="21"/>
        <w:rPr>
          <w:rFonts w:hint="default"/>
          <w:lang w:val="en-US" w:eastAsia="zh-CN"/>
        </w:rPr>
      </w:pPr>
      <w:r>
        <w:rPr>
          <w:rFonts w:hint="eastAsia"/>
          <w:lang w:val="en-US" w:eastAsia="zh-CN"/>
        </w:rPr>
        <w:t>对所保留的、作为符合性证据的成文信息应予以保护，防止非预期的更新。</w:t>
      </w:r>
    </w:p>
    <w:p>
      <w:pPr>
        <w:pStyle w:val="21"/>
        <w:rPr>
          <w:rFonts w:hint="default"/>
          <w:lang w:val="en-US" w:eastAsia="zh-CN"/>
        </w:rPr>
      </w:pPr>
      <w:r>
        <w:rPr>
          <w:rFonts w:hint="eastAsia"/>
          <w:lang w:val="en-US" w:eastAsia="zh-CN"/>
        </w:rPr>
        <w:t>注：“访问”可能指仅允许查阅成文信息的决定，或可能指允许并授权查阅和更改成文信息的决定。</w:t>
      </w:r>
    </w:p>
    <w:p>
      <w:pPr>
        <w:pStyle w:val="51"/>
        <w:bidi w:val="0"/>
        <w:ind w:left="0" w:leftChars="0" w:firstLine="0" w:firstLineChars="0"/>
        <w:rPr>
          <w:rFonts w:hint="eastAsia"/>
          <w:lang w:val="en-US" w:eastAsia="zh-CN"/>
        </w:rPr>
      </w:pPr>
      <w:bookmarkStart w:id="89" w:name="_Toc2954"/>
      <w:bookmarkStart w:id="90" w:name="_Toc8358"/>
      <w:bookmarkStart w:id="91" w:name="_Toc24743"/>
      <w:r>
        <w:rPr>
          <w:rFonts w:hint="eastAsia"/>
          <w:lang w:val="en-US" w:eastAsia="zh-CN"/>
        </w:rPr>
        <w:t>知识管理</w:t>
      </w:r>
      <w:bookmarkEnd w:id="89"/>
      <w:bookmarkEnd w:id="90"/>
      <w:bookmarkEnd w:id="91"/>
    </w:p>
    <w:p>
      <w:pPr>
        <w:pStyle w:val="21"/>
        <w:rPr>
          <w:rFonts w:hint="eastAsia"/>
          <w:szCs w:val="22"/>
        </w:rPr>
      </w:pPr>
      <w:bookmarkStart w:id="92" w:name="_Toc9352"/>
      <w:r>
        <w:rPr>
          <w:rFonts w:hint="eastAsia"/>
          <w:szCs w:val="22"/>
        </w:rPr>
        <w:t>企业应确定必要的知识，以运行过程，并获得合格产品和服务。</w:t>
      </w:r>
    </w:p>
    <w:p>
      <w:pPr>
        <w:pStyle w:val="21"/>
        <w:rPr>
          <w:rFonts w:hint="eastAsia"/>
          <w:szCs w:val="22"/>
          <w:lang w:val="en-US" w:eastAsia="zh-CN"/>
        </w:rPr>
      </w:pPr>
      <w:r>
        <w:rPr>
          <w:rFonts w:hint="eastAsia"/>
          <w:szCs w:val="22"/>
          <w:lang w:val="en-US" w:eastAsia="zh-CN"/>
        </w:rPr>
        <w:t>企业的知识通常从其经验中获得，是为实现企业目标所使用和共享的信息，是企业特有的知识。</w:t>
      </w:r>
    </w:p>
    <w:p>
      <w:pPr>
        <w:pStyle w:val="21"/>
        <w:rPr>
          <w:rFonts w:hint="eastAsia"/>
          <w:szCs w:val="22"/>
          <w:lang w:val="en-US" w:eastAsia="zh-CN"/>
        </w:rPr>
      </w:pPr>
      <w:r>
        <w:rPr>
          <w:rFonts w:hint="eastAsia"/>
          <w:szCs w:val="22"/>
          <w:lang w:val="en-US" w:eastAsia="zh-CN"/>
        </w:rPr>
        <w:t>企业的知识可基于：</w:t>
      </w:r>
    </w:p>
    <w:p>
      <w:pPr>
        <w:pStyle w:val="21"/>
        <w:numPr>
          <w:ilvl w:val="0"/>
          <w:numId w:val="28"/>
        </w:numPr>
        <w:ind w:left="420" w:firstLine="0" w:firstLineChars="0"/>
        <w:rPr>
          <w:szCs w:val="22"/>
        </w:rPr>
      </w:pPr>
      <w:r>
        <w:rPr>
          <w:rFonts w:hint="eastAsia"/>
          <w:szCs w:val="22"/>
        </w:rPr>
        <w:t>内部来源（如知识产权、从经验获得的知识、从失败和成功项目汲取的经验和教训、获取和分享未成文的知识和经验，以及过程、产品和服务的改进结果）；</w:t>
      </w:r>
    </w:p>
    <w:p>
      <w:pPr>
        <w:pStyle w:val="21"/>
        <w:numPr>
          <w:ilvl w:val="0"/>
          <w:numId w:val="28"/>
        </w:numPr>
        <w:ind w:left="420" w:firstLine="0" w:firstLineChars="0"/>
        <w:rPr>
          <w:rFonts w:hint="default"/>
          <w:szCs w:val="22"/>
          <w:lang w:val="en-US" w:eastAsia="zh-CN"/>
        </w:rPr>
      </w:pPr>
      <w:r>
        <w:rPr>
          <w:rFonts w:hint="eastAsia"/>
          <w:szCs w:val="22"/>
        </w:rPr>
        <w:t>外部来源（如标准、学术交流、专业会议、从顾客或外部供方收集的知识）</w:t>
      </w:r>
      <w:r>
        <w:rPr>
          <w:rFonts w:hint="eastAsia"/>
          <w:szCs w:val="22"/>
          <w:lang w:eastAsia="zh-CN"/>
        </w:rPr>
        <w:t>。</w:t>
      </w:r>
    </w:p>
    <w:p>
      <w:pPr>
        <w:pStyle w:val="21"/>
        <w:rPr>
          <w:szCs w:val="22"/>
        </w:rPr>
      </w:pPr>
      <w:r>
        <w:rPr>
          <w:rFonts w:hint="eastAsia"/>
          <w:szCs w:val="22"/>
        </w:rPr>
        <w:t>这些知识应予以保持，并能在所需的范围内得到。</w:t>
      </w:r>
    </w:p>
    <w:p>
      <w:pPr>
        <w:pStyle w:val="21"/>
        <w:numPr>
          <w:ilvl w:val="0"/>
          <w:numId w:val="0"/>
        </w:numPr>
        <w:ind w:firstLine="420" w:firstLineChars="200"/>
        <w:rPr>
          <w:szCs w:val="22"/>
        </w:rPr>
      </w:pPr>
      <w:r>
        <w:rPr>
          <w:rFonts w:hint="eastAsia"/>
          <w:szCs w:val="22"/>
        </w:rPr>
        <w:t>为应对不断变化的需求和发展趋势，企业应审视现有的知识，确定如何获取或接触更多必要的知识和知识更新。</w:t>
      </w:r>
    </w:p>
    <w:p>
      <w:pPr>
        <w:pStyle w:val="51"/>
        <w:bidi w:val="0"/>
        <w:ind w:left="0" w:leftChars="0" w:firstLine="0" w:firstLineChars="0"/>
        <w:rPr>
          <w:rFonts w:hint="default"/>
          <w:lang w:val="en-US" w:eastAsia="zh-CN"/>
        </w:rPr>
      </w:pPr>
      <w:bookmarkStart w:id="93" w:name="_Toc12811"/>
      <w:bookmarkStart w:id="94" w:name="_Toc18971"/>
      <w:r>
        <w:rPr>
          <w:rFonts w:hint="eastAsia"/>
          <w:lang w:val="en-US" w:eastAsia="zh-CN"/>
        </w:rPr>
        <w:t>安全文化建设</w:t>
      </w:r>
      <w:bookmarkEnd w:id="92"/>
      <w:bookmarkEnd w:id="93"/>
      <w:bookmarkEnd w:id="94"/>
    </w:p>
    <w:p>
      <w:pPr>
        <w:pStyle w:val="21"/>
        <w:rPr>
          <w:rFonts w:hAnsi="宋体"/>
          <w:color w:val="000000"/>
        </w:rPr>
      </w:pPr>
      <w:r>
        <w:rPr>
          <w:rFonts w:hint="eastAsia" w:hAnsi="宋体"/>
          <w:color w:val="000000"/>
        </w:rPr>
        <w:t>企业宜制定安全文化建设的长期规划和阶段性计划，通过开展安全文化建设，为</w:t>
      </w:r>
      <w:r>
        <w:rPr>
          <w:rFonts w:hint="eastAsia"/>
          <w:szCs w:val="22"/>
        </w:rPr>
        <w:t>全体从业人员起到引导和指引方向的导向作用，从而</w:t>
      </w:r>
      <w:r>
        <w:rPr>
          <w:rFonts w:hint="eastAsia" w:hAnsi="宋体"/>
          <w:color w:val="000000"/>
        </w:rPr>
        <w:t>改进和加强企业的安全与风险综合管理</w:t>
      </w:r>
      <w:r>
        <w:rPr>
          <w:rFonts w:hint="eastAsia" w:hAnsi="宋体"/>
          <w:color w:val="000000"/>
          <w:lang w:val="en-US" w:eastAsia="zh-CN"/>
        </w:rPr>
        <w:t>体系</w:t>
      </w:r>
      <w:r>
        <w:rPr>
          <w:rFonts w:hint="eastAsia" w:hAnsi="宋体"/>
          <w:color w:val="000000"/>
        </w:rPr>
        <w:t>，促进安全生产工作。</w:t>
      </w:r>
    </w:p>
    <w:p>
      <w:pPr>
        <w:pStyle w:val="21"/>
        <w:rPr>
          <w:rFonts w:hAnsi="宋体"/>
          <w:color w:val="000000"/>
        </w:rPr>
      </w:pPr>
      <w:r>
        <w:rPr>
          <w:rFonts w:hint="eastAsia" w:hAnsi="宋体"/>
          <w:color w:val="000000"/>
        </w:rPr>
        <w:t>企业应采取多种形式的安全文化活动，引导全体从业人员的安全态度和安全行为，逐步形成为全体员工所认同、共同遵守、带有本企业特点的安全理念、价值观和安全行为准则，实现法律和政府监管要求之上的安全自我约束，保障企业安全生产水平持续提高。</w:t>
      </w:r>
    </w:p>
    <w:p>
      <w:pPr>
        <w:pStyle w:val="21"/>
        <w:rPr>
          <w:rFonts w:hAnsi="宋体"/>
          <w:color w:val="000000"/>
        </w:rPr>
      </w:pPr>
      <w:r>
        <w:rPr>
          <w:rFonts w:hint="eastAsia" w:hAnsi="宋体"/>
          <w:color w:val="000000"/>
        </w:rPr>
        <w:t>为起到安全文化的应有作用，企业可适当进行下列活动：</w:t>
      </w:r>
    </w:p>
    <w:p>
      <w:pPr>
        <w:pStyle w:val="21"/>
        <w:numPr>
          <w:ilvl w:val="0"/>
          <w:numId w:val="29"/>
        </w:numPr>
        <w:ind w:left="420" w:firstLine="0" w:firstLineChars="0"/>
        <w:rPr>
          <w:szCs w:val="22"/>
        </w:rPr>
      </w:pPr>
      <w:r>
        <w:rPr>
          <w:rFonts w:hint="eastAsia"/>
          <w:szCs w:val="22"/>
        </w:rPr>
        <w:t>通过</w:t>
      </w:r>
      <w:r>
        <w:rPr>
          <w:szCs w:val="22"/>
        </w:rPr>
        <w:t>营造安全文化氛围，使全体员工紧紧联系在一起，显示共同的安全目标、意识和追求</w:t>
      </w:r>
      <w:r>
        <w:rPr>
          <w:rFonts w:hint="eastAsia"/>
          <w:szCs w:val="22"/>
        </w:rPr>
        <w:t>，起到凝聚作用</w:t>
      </w:r>
      <w:r>
        <w:rPr>
          <w:szCs w:val="22"/>
        </w:rPr>
        <w:t>。</w:t>
      </w:r>
    </w:p>
    <w:p>
      <w:pPr>
        <w:pStyle w:val="21"/>
        <w:numPr>
          <w:ilvl w:val="0"/>
          <w:numId w:val="29"/>
        </w:numPr>
        <w:ind w:left="420" w:firstLine="0" w:firstLineChars="0"/>
        <w:rPr>
          <w:szCs w:val="22"/>
        </w:rPr>
      </w:pPr>
      <w:r>
        <w:rPr>
          <w:szCs w:val="22"/>
        </w:rPr>
        <w:t>通过表彰先进，树立安全标兵等多种方法，激发全体员工的安全生产积极性和主动性</w:t>
      </w:r>
      <w:r>
        <w:rPr>
          <w:rFonts w:hint="eastAsia"/>
          <w:szCs w:val="22"/>
        </w:rPr>
        <w:t>，起到激励作用</w:t>
      </w:r>
      <w:r>
        <w:rPr>
          <w:szCs w:val="22"/>
        </w:rPr>
        <w:t>。</w:t>
      </w:r>
    </w:p>
    <w:p>
      <w:pPr>
        <w:pStyle w:val="21"/>
        <w:numPr>
          <w:ilvl w:val="0"/>
          <w:numId w:val="29"/>
        </w:numPr>
        <w:ind w:left="420" w:firstLine="0" w:firstLineChars="0"/>
        <w:rPr>
          <w:rFonts w:hint="default"/>
          <w:szCs w:val="22"/>
          <w:lang w:val="en-US" w:eastAsia="zh-CN"/>
        </w:rPr>
      </w:pPr>
      <w:r>
        <w:rPr>
          <w:rFonts w:hint="eastAsia"/>
          <w:szCs w:val="22"/>
        </w:rPr>
        <w:t>开展安全文化评价，为安全文化建设改进提供机遇与方向。</w:t>
      </w:r>
    </w:p>
    <w:p>
      <w:pPr>
        <w:pStyle w:val="94"/>
        <w:rPr>
          <w:rFonts w:hint="eastAsia"/>
          <w:szCs w:val="22"/>
          <w:lang w:val="en-US" w:eastAsia="zh-CN"/>
        </w:rPr>
      </w:pPr>
      <w:bookmarkStart w:id="95" w:name="_Toc31596"/>
      <w:bookmarkStart w:id="96" w:name="_Toc20756"/>
      <w:bookmarkStart w:id="97" w:name="_Toc6188"/>
      <w:r>
        <w:rPr>
          <w:rFonts w:hint="eastAsia"/>
          <w:szCs w:val="22"/>
          <w:lang w:val="en-US" w:eastAsia="zh-CN"/>
        </w:rPr>
        <w:t>风险管理</w:t>
      </w:r>
      <w:bookmarkEnd w:id="95"/>
      <w:bookmarkEnd w:id="96"/>
      <w:bookmarkEnd w:id="97"/>
    </w:p>
    <w:p>
      <w:pPr>
        <w:pStyle w:val="51"/>
        <w:bidi w:val="0"/>
        <w:ind w:left="0" w:leftChars="0" w:firstLine="0" w:firstLineChars="0"/>
        <w:rPr>
          <w:rFonts w:hint="eastAsia"/>
          <w:highlight w:val="none"/>
          <w:lang w:val="en-US" w:eastAsia="zh-CN"/>
        </w:rPr>
      </w:pPr>
      <w:bookmarkStart w:id="98" w:name="_Toc18969"/>
      <w:bookmarkStart w:id="99" w:name="_Toc15058"/>
      <w:bookmarkStart w:id="100" w:name="_Toc22223"/>
      <w:r>
        <w:rPr>
          <w:rFonts w:hint="eastAsia"/>
          <w:highlight w:val="none"/>
          <w:lang w:val="en-US" w:eastAsia="zh-CN"/>
        </w:rPr>
        <w:t>因素辨识</w:t>
      </w:r>
      <w:bookmarkEnd w:id="98"/>
      <w:bookmarkEnd w:id="99"/>
      <w:bookmarkEnd w:id="100"/>
    </w:p>
    <w:p>
      <w:pPr>
        <w:pStyle w:val="51"/>
        <w:numPr>
          <w:ilvl w:val="1"/>
          <w:numId w:val="0"/>
        </w:numPr>
        <w:bidi w:val="0"/>
        <w:ind w:leftChars="0"/>
        <w:rPr>
          <w:rFonts w:hint="default"/>
          <w:highlight w:val="none"/>
          <w:lang w:val="en-US" w:eastAsia="zh-CN"/>
        </w:rPr>
      </w:pPr>
      <w:bookmarkStart w:id="101" w:name="_Toc28011"/>
      <w:bookmarkStart w:id="102" w:name="_Toc19845"/>
      <w:r>
        <w:rPr>
          <w:rFonts w:hint="eastAsia"/>
          <w:highlight w:val="none"/>
          <w:lang w:val="en-US" w:eastAsia="zh-CN"/>
        </w:rPr>
        <w:t>5.1.1策划</w:t>
      </w:r>
      <w:bookmarkEnd w:id="101"/>
      <w:bookmarkEnd w:id="102"/>
    </w:p>
    <w:p>
      <w:pPr>
        <w:pStyle w:val="21"/>
        <w:rPr>
          <w:rFonts w:hint="eastAsia"/>
          <w:highlight w:val="none"/>
          <w:lang w:val="en-US" w:eastAsia="zh-CN"/>
        </w:rPr>
      </w:pPr>
      <w:r>
        <w:rPr>
          <w:rFonts w:hint="eastAsia"/>
          <w:highlight w:val="none"/>
          <w:lang w:val="en-US" w:eastAsia="zh-CN"/>
        </w:rPr>
        <w:t>企业应建立、实施和保持用于常态的、持续的和主动的危害因素辨识的过程，并涵盖所有工作场所及生产活动过程。</w:t>
      </w:r>
    </w:p>
    <w:p>
      <w:pPr>
        <w:pStyle w:val="21"/>
        <w:rPr>
          <w:rFonts w:hint="eastAsia"/>
          <w:highlight w:val="none"/>
          <w:lang w:val="en-US" w:eastAsia="zh-CN"/>
        </w:rPr>
      </w:pPr>
      <w:r>
        <w:rPr>
          <w:rFonts w:hint="eastAsia"/>
          <w:highlight w:val="none"/>
          <w:lang w:val="en-US" w:eastAsia="zh-CN"/>
        </w:rPr>
        <w:t>企业应：</w:t>
      </w:r>
    </w:p>
    <w:p>
      <w:pPr>
        <w:pStyle w:val="21"/>
        <w:numPr>
          <w:ilvl w:val="0"/>
          <w:numId w:val="30"/>
        </w:numPr>
        <w:ind w:left="420" w:leftChars="0" w:firstLine="0" w:firstLineChars="0"/>
        <w:rPr>
          <w:rFonts w:hint="eastAsia"/>
          <w:szCs w:val="22"/>
          <w:highlight w:val="none"/>
          <w:lang w:val="en-US" w:eastAsia="zh-CN"/>
        </w:rPr>
      </w:pPr>
      <w:r>
        <w:rPr>
          <w:rFonts w:hint="eastAsia"/>
          <w:szCs w:val="22"/>
          <w:highlight w:val="none"/>
          <w:lang w:val="en-US" w:eastAsia="zh-CN"/>
        </w:rPr>
        <w:t>确定与企业的生产活动相适合的危害因素辨识方法；</w:t>
      </w:r>
    </w:p>
    <w:p>
      <w:pPr>
        <w:pStyle w:val="21"/>
        <w:numPr>
          <w:ilvl w:val="0"/>
          <w:numId w:val="30"/>
        </w:numPr>
        <w:ind w:left="420" w:leftChars="0" w:firstLine="0" w:firstLineChars="0"/>
        <w:rPr>
          <w:rFonts w:hint="eastAsia"/>
          <w:szCs w:val="22"/>
          <w:highlight w:val="none"/>
          <w:lang w:val="en-US" w:eastAsia="zh-CN"/>
        </w:rPr>
      </w:pPr>
      <w:r>
        <w:rPr>
          <w:rFonts w:hint="eastAsia"/>
          <w:szCs w:val="22"/>
          <w:highlight w:val="none"/>
          <w:lang w:val="en-US" w:eastAsia="zh-CN"/>
        </w:rPr>
        <w:t>按照策划的时间间隔开展常态危害因素辨识；</w:t>
      </w:r>
    </w:p>
    <w:p>
      <w:pPr>
        <w:pStyle w:val="21"/>
        <w:numPr>
          <w:ilvl w:val="0"/>
          <w:numId w:val="30"/>
        </w:numPr>
        <w:ind w:left="420" w:leftChars="0" w:firstLine="0" w:firstLineChars="0"/>
        <w:rPr>
          <w:rFonts w:hint="eastAsia"/>
          <w:szCs w:val="22"/>
          <w:highlight w:val="none"/>
          <w:lang w:val="en-US" w:eastAsia="zh-CN"/>
        </w:rPr>
      </w:pPr>
      <w:r>
        <w:rPr>
          <w:rFonts w:hint="eastAsia"/>
          <w:szCs w:val="22"/>
          <w:highlight w:val="none"/>
          <w:lang w:val="en-US" w:eastAsia="zh-CN"/>
        </w:rPr>
        <w:t>实施过程中实现持续的和主动的危害因素辨识。</w:t>
      </w:r>
    </w:p>
    <w:p>
      <w:pPr>
        <w:pStyle w:val="21"/>
        <w:numPr>
          <w:ilvl w:val="0"/>
          <w:numId w:val="0"/>
        </w:numPr>
        <w:ind w:left="420" w:leftChars="0"/>
        <w:rPr>
          <w:rFonts w:hint="default"/>
          <w:szCs w:val="22"/>
          <w:highlight w:val="none"/>
          <w:lang w:val="en-US" w:eastAsia="zh-CN"/>
        </w:rPr>
      </w:pPr>
      <w:r>
        <w:rPr>
          <w:rFonts w:hint="eastAsia"/>
          <w:highlight w:val="none"/>
          <w:lang w:val="en-US" w:eastAsia="zh-CN"/>
        </w:rPr>
        <w:t>有关方法和准则的成文信息应予以保持和保留。</w:t>
      </w:r>
    </w:p>
    <w:p>
      <w:pPr>
        <w:pStyle w:val="51"/>
        <w:numPr>
          <w:ilvl w:val="1"/>
          <w:numId w:val="0"/>
        </w:numPr>
        <w:bidi w:val="0"/>
        <w:ind w:leftChars="0"/>
        <w:rPr>
          <w:rFonts w:hint="eastAsia"/>
          <w:highlight w:val="none"/>
          <w:lang w:val="en-US" w:eastAsia="zh-CN"/>
        </w:rPr>
      </w:pPr>
      <w:bookmarkStart w:id="103" w:name="_Toc28616"/>
      <w:bookmarkStart w:id="104" w:name="_Toc113"/>
      <w:r>
        <w:rPr>
          <w:rFonts w:hint="eastAsia"/>
          <w:highlight w:val="none"/>
          <w:lang w:val="en-US" w:eastAsia="zh-CN"/>
        </w:rPr>
        <w:t>5.1.2辨识</w:t>
      </w:r>
      <w:bookmarkEnd w:id="103"/>
      <w:bookmarkEnd w:id="104"/>
    </w:p>
    <w:p>
      <w:pPr>
        <w:pStyle w:val="21"/>
        <w:rPr>
          <w:rFonts w:hint="eastAsia"/>
          <w:szCs w:val="22"/>
          <w:lang w:val="en-US" w:eastAsia="zh-CN"/>
        </w:rPr>
      </w:pPr>
      <w:r>
        <w:rPr>
          <w:rFonts w:hint="eastAsia"/>
          <w:szCs w:val="22"/>
          <w:lang w:val="en-US" w:eastAsia="zh-CN"/>
        </w:rPr>
        <w:t>企业组织开展风险辨识因素应考虑（但不限于）以下方面：</w:t>
      </w:r>
    </w:p>
    <w:p>
      <w:pPr>
        <w:pStyle w:val="21"/>
        <w:numPr>
          <w:ilvl w:val="0"/>
          <w:numId w:val="31"/>
        </w:numPr>
        <w:ind w:left="420" w:leftChars="0" w:firstLine="0" w:firstLineChars="0"/>
        <w:rPr>
          <w:rFonts w:hint="default"/>
          <w:szCs w:val="22"/>
          <w:lang w:val="en-US" w:eastAsia="zh-CN"/>
        </w:rPr>
      </w:pPr>
      <w:r>
        <w:rPr>
          <w:rFonts w:hint="eastAsia"/>
          <w:szCs w:val="22"/>
          <w:lang w:val="en-US" w:eastAsia="zh-CN"/>
        </w:rPr>
        <w:t>常规和非常规的活动和状况，包括正常、异常、潜在的紧急情况；</w:t>
      </w:r>
    </w:p>
    <w:p>
      <w:pPr>
        <w:pStyle w:val="21"/>
        <w:numPr>
          <w:ilvl w:val="0"/>
          <w:numId w:val="0"/>
        </w:numPr>
        <w:ind w:left="420" w:leftChars="0" w:firstLine="420" w:firstLineChars="200"/>
        <w:rPr>
          <w:rFonts w:hint="eastAsia"/>
          <w:szCs w:val="22"/>
          <w:lang w:val="en-US" w:eastAsia="zh-CN"/>
        </w:rPr>
      </w:pPr>
      <w:r>
        <w:rPr>
          <w:rFonts w:hint="eastAsia"/>
          <w:szCs w:val="22"/>
          <w:lang w:val="en-US" w:eastAsia="zh-CN"/>
        </w:rPr>
        <w:t>1）基础设施、设备、原料、材料和工作场所的物理环境；</w:t>
      </w:r>
    </w:p>
    <w:p>
      <w:pPr>
        <w:pStyle w:val="21"/>
        <w:numPr>
          <w:ilvl w:val="0"/>
          <w:numId w:val="0"/>
        </w:numPr>
        <w:ind w:left="420" w:leftChars="0" w:firstLine="420" w:firstLineChars="200"/>
        <w:rPr>
          <w:rFonts w:hint="eastAsia"/>
          <w:szCs w:val="22"/>
          <w:lang w:val="en-US" w:eastAsia="zh-CN"/>
        </w:rPr>
      </w:pPr>
      <w:r>
        <w:rPr>
          <w:rFonts w:hint="eastAsia"/>
          <w:szCs w:val="22"/>
          <w:lang w:val="en-US" w:eastAsia="zh-CN"/>
        </w:rPr>
        <w:t>2）产品全生命周期相关活动，包括产品和服务的设计、研究、开发、测试、生产、装配、施工、交付、维护或处置；</w:t>
      </w:r>
    </w:p>
    <w:p>
      <w:pPr>
        <w:pStyle w:val="21"/>
        <w:numPr>
          <w:ilvl w:val="0"/>
          <w:numId w:val="0"/>
        </w:numPr>
        <w:ind w:left="420" w:leftChars="0" w:firstLine="420" w:firstLineChars="200"/>
        <w:rPr>
          <w:rFonts w:hint="eastAsia"/>
          <w:szCs w:val="22"/>
          <w:lang w:val="en-US" w:eastAsia="zh-CN"/>
        </w:rPr>
      </w:pPr>
      <w:r>
        <w:rPr>
          <w:rFonts w:hint="eastAsia"/>
          <w:szCs w:val="22"/>
          <w:lang w:val="en-US" w:eastAsia="zh-CN"/>
        </w:rPr>
        <w:t>3）人的因素。</w:t>
      </w:r>
    </w:p>
    <w:p>
      <w:pPr>
        <w:pStyle w:val="21"/>
        <w:numPr>
          <w:ilvl w:val="0"/>
          <w:numId w:val="31"/>
        </w:numPr>
        <w:ind w:left="420" w:leftChars="0" w:firstLine="0" w:firstLineChars="0"/>
        <w:rPr>
          <w:rFonts w:hint="eastAsia"/>
          <w:szCs w:val="22"/>
          <w:lang w:val="en-US" w:eastAsia="zh-CN"/>
        </w:rPr>
      </w:pPr>
      <w:r>
        <w:rPr>
          <w:rFonts w:hint="eastAsia"/>
          <w:szCs w:val="22"/>
          <w:lang w:val="en-US" w:eastAsia="zh-CN"/>
        </w:rPr>
        <w:t>社会因素，包括</w:t>
      </w:r>
      <w:r>
        <w:rPr>
          <w:rFonts w:hint="eastAsia"/>
          <w:lang w:val="en-US" w:eastAsia="zh-CN"/>
        </w:rPr>
        <w:t>工作负荷、工作时间、欺骗、骚扰和欺压</w:t>
      </w:r>
      <w:r>
        <w:rPr>
          <w:rFonts w:hint="eastAsia"/>
          <w:szCs w:val="22"/>
          <w:lang w:val="en-US" w:eastAsia="zh-CN"/>
        </w:rPr>
        <w:t>；</w:t>
      </w:r>
    </w:p>
    <w:p>
      <w:pPr>
        <w:pStyle w:val="21"/>
        <w:numPr>
          <w:ilvl w:val="0"/>
          <w:numId w:val="31"/>
        </w:numPr>
        <w:ind w:left="420" w:leftChars="0" w:firstLine="0" w:firstLineChars="0"/>
        <w:rPr>
          <w:rFonts w:hint="eastAsia"/>
          <w:szCs w:val="22"/>
          <w:lang w:val="en-US" w:eastAsia="zh-CN"/>
        </w:rPr>
      </w:pPr>
      <w:r>
        <w:rPr>
          <w:rFonts w:hint="eastAsia"/>
          <w:szCs w:val="22"/>
          <w:lang w:val="en-US" w:eastAsia="zh-CN"/>
        </w:rPr>
        <w:t>相关方，包括：</w:t>
      </w:r>
    </w:p>
    <w:p>
      <w:pPr>
        <w:pStyle w:val="21"/>
        <w:numPr>
          <w:ilvl w:val="0"/>
          <w:numId w:val="0"/>
        </w:numPr>
        <w:ind w:left="420" w:leftChars="0" w:firstLine="420" w:firstLineChars="200"/>
        <w:rPr>
          <w:rFonts w:hint="eastAsia"/>
          <w:szCs w:val="22"/>
          <w:lang w:val="en-US" w:eastAsia="zh-CN"/>
        </w:rPr>
      </w:pPr>
      <w:r>
        <w:rPr>
          <w:rFonts w:hint="eastAsia"/>
          <w:szCs w:val="22"/>
          <w:lang w:val="en-US" w:eastAsia="zh-CN"/>
        </w:rPr>
        <w:t>1）进入工作场所的人员及其活动，包括工作人员、承包方、访问者和其他人员；</w:t>
      </w:r>
    </w:p>
    <w:p>
      <w:pPr>
        <w:pStyle w:val="21"/>
        <w:numPr>
          <w:ilvl w:val="0"/>
          <w:numId w:val="0"/>
        </w:numPr>
        <w:ind w:left="420" w:leftChars="0" w:firstLine="420" w:firstLineChars="200"/>
        <w:rPr>
          <w:rFonts w:hint="eastAsia"/>
          <w:szCs w:val="22"/>
          <w:lang w:val="en-US" w:eastAsia="zh-CN"/>
        </w:rPr>
      </w:pPr>
      <w:r>
        <w:rPr>
          <w:rFonts w:hint="eastAsia"/>
          <w:szCs w:val="22"/>
          <w:lang w:val="en-US" w:eastAsia="zh-CN"/>
        </w:rPr>
        <w:t>2）处于工作场所附近可能受企业活动影响的人员；</w:t>
      </w:r>
    </w:p>
    <w:p>
      <w:pPr>
        <w:pStyle w:val="21"/>
        <w:numPr>
          <w:ilvl w:val="0"/>
          <w:numId w:val="0"/>
        </w:numPr>
        <w:ind w:left="420" w:leftChars="0" w:firstLine="420" w:firstLineChars="200"/>
        <w:rPr>
          <w:rFonts w:hint="eastAsia"/>
          <w:szCs w:val="22"/>
          <w:lang w:val="en-US" w:eastAsia="zh-CN"/>
        </w:rPr>
      </w:pPr>
      <w:r>
        <w:rPr>
          <w:rFonts w:hint="eastAsia"/>
          <w:szCs w:val="22"/>
          <w:lang w:val="en-US" w:eastAsia="zh-CN"/>
        </w:rPr>
        <w:t>3）处于不受企业直接控制的场所的工作人员。</w:t>
      </w:r>
    </w:p>
    <w:p>
      <w:pPr>
        <w:pStyle w:val="21"/>
        <w:numPr>
          <w:ilvl w:val="0"/>
          <w:numId w:val="31"/>
        </w:numPr>
        <w:ind w:left="420" w:leftChars="0" w:firstLine="0" w:firstLineChars="0"/>
        <w:rPr>
          <w:rFonts w:hint="eastAsia"/>
          <w:szCs w:val="22"/>
          <w:lang w:val="en-US" w:eastAsia="zh-CN"/>
        </w:rPr>
      </w:pPr>
      <w:r>
        <w:rPr>
          <w:rFonts w:hint="eastAsia"/>
          <w:lang w:val="en-US" w:eastAsia="zh-CN"/>
        </w:rPr>
        <w:t>内部或外部以往发生的相关事件（包括紧急情况）及其原因；</w:t>
      </w:r>
    </w:p>
    <w:p>
      <w:pPr>
        <w:pStyle w:val="21"/>
        <w:numPr>
          <w:ilvl w:val="0"/>
          <w:numId w:val="31"/>
        </w:numPr>
        <w:ind w:left="420" w:leftChars="0" w:firstLine="0" w:firstLineChars="0"/>
        <w:rPr>
          <w:rFonts w:hint="eastAsia"/>
          <w:szCs w:val="22"/>
          <w:lang w:val="en-US" w:eastAsia="zh-CN"/>
        </w:rPr>
      </w:pPr>
      <w:r>
        <w:rPr>
          <w:rFonts w:hint="eastAsia"/>
          <w:szCs w:val="22"/>
          <w:lang w:val="en-US" w:eastAsia="zh-CN"/>
        </w:rPr>
        <w:t>其他因素，包括：</w:t>
      </w:r>
    </w:p>
    <w:p>
      <w:pPr>
        <w:pStyle w:val="21"/>
        <w:numPr>
          <w:ilvl w:val="0"/>
          <w:numId w:val="0"/>
        </w:numPr>
        <w:ind w:left="420" w:leftChars="0" w:firstLine="420" w:firstLineChars="200"/>
        <w:rPr>
          <w:rFonts w:hint="eastAsia"/>
          <w:szCs w:val="22"/>
          <w:lang w:val="en-US" w:eastAsia="zh-CN"/>
        </w:rPr>
      </w:pPr>
      <w:r>
        <w:rPr>
          <w:rFonts w:hint="eastAsia"/>
          <w:szCs w:val="22"/>
          <w:lang w:val="en-US" w:eastAsia="zh-CN"/>
        </w:rPr>
        <w:t>1）企业在运行、过程、活动中实际或拟定的变更；</w:t>
      </w:r>
    </w:p>
    <w:p>
      <w:pPr>
        <w:pStyle w:val="21"/>
        <w:numPr>
          <w:ilvl w:val="0"/>
          <w:numId w:val="0"/>
        </w:numPr>
        <w:ind w:left="420" w:leftChars="0" w:firstLine="420" w:firstLineChars="200"/>
        <w:rPr>
          <w:rFonts w:hint="eastAsia"/>
          <w:szCs w:val="22"/>
          <w:lang w:val="en-US" w:eastAsia="zh-CN"/>
        </w:rPr>
      </w:pPr>
      <w:r>
        <w:rPr>
          <w:rFonts w:hint="eastAsia"/>
          <w:szCs w:val="22"/>
          <w:lang w:val="en-US" w:eastAsia="zh-CN"/>
        </w:rPr>
        <w:t>2）发生在工作场所附近，可能对工作场所人员造成伤害、损害的状况。</w:t>
      </w:r>
    </w:p>
    <w:p>
      <w:pPr>
        <w:pStyle w:val="21"/>
        <w:numPr>
          <w:ilvl w:val="0"/>
          <w:numId w:val="0"/>
        </w:numPr>
        <w:ind w:left="420" w:leftChars="0"/>
        <w:rPr>
          <w:rFonts w:hint="default"/>
          <w:szCs w:val="22"/>
          <w:lang w:val="en-US" w:eastAsia="zh-CN"/>
        </w:rPr>
      </w:pPr>
      <w:r>
        <w:rPr>
          <w:rFonts w:hint="eastAsia"/>
          <w:szCs w:val="22"/>
          <w:lang w:val="en-US" w:eastAsia="zh-CN"/>
        </w:rPr>
        <w:t>危害因素辨识的结果应作为成文信息予以保持和保留。</w:t>
      </w:r>
    </w:p>
    <w:p>
      <w:pPr>
        <w:pStyle w:val="51"/>
        <w:bidi w:val="0"/>
        <w:ind w:left="0" w:leftChars="0" w:firstLine="0" w:firstLineChars="0"/>
        <w:rPr>
          <w:rFonts w:hint="eastAsia"/>
          <w:lang w:val="en-US" w:eastAsia="zh-CN"/>
        </w:rPr>
      </w:pPr>
      <w:bookmarkStart w:id="105" w:name="_Toc7528"/>
      <w:bookmarkStart w:id="106" w:name="_Toc27610"/>
      <w:bookmarkStart w:id="107" w:name="_Toc19828"/>
      <w:r>
        <w:rPr>
          <w:rFonts w:hint="eastAsia"/>
          <w:lang w:val="en-US" w:eastAsia="zh-CN"/>
        </w:rPr>
        <w:t>风险评价</w:t>
      </w:r>
      <w:bookmarkEnd w:id="105"/>
      <w:bookmarkEnd w:id="106"/>
      <w:bookmarkEnd w:id="107"/>
    </w:p>
    <w:p>
      <w:pPr>
        <w:pStyle w:val="21"/>
        <w:rPr>
          <w:rFonts w:hint="eastAsia"/>
          <w:szCs w:val="22"/>
          <w:lang w:val="en-US" w:eastAsia="zh-CN"/>
        </w:rPr>
      </w:pPr>
      <w:r>
        <w:rPr>
          <w:rFonts w:hint="eastAsia"/>
          <w:lang w:val="en-US" w:eastAsia="zh-CN"/>
        </w:rPr>
        <w:t>企业应建立、实施和保持过程</w:t>
      </w:r>
      <w:r>
        <w:rPr>
          <w:rFonts w:hint="eastAsia"/>
          <w:color w:val="auto"/>
          <w:lang w:val="en-US" w:eastAsia="zh-CN"/>
        </w:rPr>
        <w:t>，</w:t>
      </w:r>
      <w:r>
        <w:rPr>
          <w:rFonts w:hint="eastAsia"/>
          <w:color w:val="auto"/>
        </w:rPr>
        <w:t>选择合适的风险评价方法，</w:t>
      </w:r>
      <w:r>
        <w:rPr>
          <w:rFonts w:hint="eastAsia"/>
          <w:color w:val="auto"/>
          <w:lang w:val="en-US" w:eastAsia="zh-CN"/>
        </w:rPr>
        <w:t>以</w:t>
      </w:r>
      <w:r>
        <w:rPr>
          <w:rFonts w:hint="eastAsia"/>
          <w:color w:val="auto"/>
          <w:szCs w:val="22"/>
          <w:lang w:val="en-US" w:eastAsia="zh-CN"/>
        </w:rPr>
        <w:t>评</w:t>
      </w:r>
      <w:r>
        <w:rPr>
          <w:rFonts w:hint="eastAsia"/>
          <w:szCs w:val="22"/>
          <w:lang w:val="en-US" w:eastAsia="zh-CN"/>
        </w:rPr>
        <w:t>价来自已辨识的危害因素，同时必须考虑现有控制措施的有效性，并确定和评价相关的其他风险。</w:t>
      </w:r>
    </w:p>
    <w:p>
      <w:pPr>
        <w:pStyle w:val="21"/>
        <w:rPr>
          <w:rFonts w:hint="eastAsia"/>
          <w:lang w:val="en-US" w:eastAsia="zh-CN"/>
        </w:rPr>
      </w:pPr>
      <w:r>
        <w:rPr>
          <w:rFonts w:hint="eastAsia"/>
          <w:lang w:val="en-US" w:eastAsia="zh-CN"/>
        </w:rPr>
        <w:t>风险评价的步骤可包括：</w:t>
      </w:r>
    </w:p>
    <w:p>
      <w:pPr>
        <w:pStyle w:val="21"/>
        <w:numPr>
          <w:ilvl w:val="0"/>
          <w:numId w:val="0"/>
        </w:numPr>
        <w:ind w:left="420" w:leftChars="0"/>
        <w:rPr>
          <w:rFonts w:hint="eastAsia"/>
          <w:szCs w:val="22"/>
          <w:lang w:val="en-US" w:eastAsia="zh-CN"/>
        </w:rPr>
      </w:pPr>
      <w:r>
        <w:rPr>
          <w:rFonts w:hint="eastAsia"/>
          <w:szCs w:val="22"/>
          <w:lang w:val="en-US" w:eastAsia="zh-CN"/>
        </w:rPr>
        <w:t>a）确定风险范畴和细分风险种类；</w:t>
      </w:r>
    </w:p>
    <w:p>
      <w:pPr>
        <w:pStyle w:val="21"/>
        <w:numPr>
          <w:ilvl w:val="0"/>
          <w:numId w:val="0"/>
        </w:numPr>
        <w:ind w:left="420" w:leftChars="0"/>
        <w:rPr>
          <w:rFonts w:hint="eastAsia"/>
          <w:szCs w:val="22"/>
          <w:lang w:val="en-US" w:eastAsia="zh-CN"/>
        </w:rPr>
      </w:pPr>
      <w:r>
        <w:rPr>
          <w:rFonts w:hint="eastAsia"/>
          <w:szCs w:val="22"/>
          <w:lang w:val="en-US" w:eastAsia="zh-CN"/>
        </w:rPr>
        <w:t>b）查找可能暴露于风险的人员、设备及其他信息；</w:t>
      </w:r>
    </w:p>
    <w:p>
      <w:pPr>
        <w:pStyle w:val="21"/>
        <w:numPr>
          <w:ilvl w:val="0"/>
          <w:numId w:val="0"/>
        </w:numPr>
        <w:ind w:left="420" w:leftChars="0"/>
        <w:rPr>
          <w:rFonts w:hint="eastAsia"/>
          <w:szCs w:val="22"/>
          <w:lang w:val="en-US" w:eastAsia="zh-CN"/>
        </w:rPr>
      </w:pPr>
      <w:r>
        <w:rPr>
          <w:rFonts w:hint="eastAsia"/>
          <w:szCs w:val="22"/>
          <w:lang w:val="en-US" w:eastAsia="zh-CN"/>
        </w:rPr>
        <w:t>c）识别控制风险的现有措施，包括现有的管理措施和现场执行的防范措施；</w:t>
      </w:r>
    </w:p>
    <w:p>
      <w:pPr>
        <w:pStyle w:val="21"/>
        <w:numPr>
          <w:ilvl w:val="0"/>
          <w:numId w:val="0"/>
        </w:numPr>
        <w:ind w:left="420" w:leftChars="0"/>
        <w:rPr>
          <w:rFonts w:hint="eastAsia"/>
          <w:szCs w:val="22"/>
          <w:lang w:val="en-US" w:eastAsia="zh-CN"/>
        </w:rPr>
      </w:pPr>
      <w:r>
        <w:rPr>
          <w:rFonts w:hint="eastAsia"/>
          <w:szCs w:val="22"/>
          <w:lang w:val="en-US" w:eastAsia="zh-CN"/>
        </w:rPr>
        <w:t>d）分析危害转化为风险的可能性和后果的严重性；</w:t>
      </w:r>
    </w:p>
    <w:p>
      <w:pPr>
        <w:pStyle w:val="21"/>
        <w:numPr>
          <w:ilvl w:val="0"/>
          <w:numId w:val="0"/>
        </w:numPr>
        <w:ind w:left="420" w:leftChars="0"/>
        <w:rPr>
          <w:rFonts w:hint="eastAsia"/>
          <w:szCs w:val="22"/>
          <w:lang w:val="en-US" w:eastAsia="zh-CN"/>
        </w:rPr>
      </w:pPr>
      <w:r>
        <w:rPr>
          <w:rFonts w:hint="eastAsia"/>
          <w:szCs w:val="22"/>
          <w:lang w:val="en-US" w:eastAsia="zh-CN"/>
        </w:rPr>
        <w:t>e）量化风险结果并划分风险等级。</w:t>
      </w:r>
    </w:p>
    <w:p>
      <w:pPr>
        <w:pStyle w:val="21"/>
        <w:numPr>
          <w:ilvl w:val="0"/>
          <w:numId w:val="0"/>
        </w:numPr>
        <w:ind w:left="420" w:leftChars="0"/>
        <w:rPr>
          <w:rFonts w:hint="default"/>
          <w:szCs w:val="22"/>
          <w:lang w:val="en-US" w:eastAsia="zh-CN"/>
        </w:rPr>
      </w:pPr>
      <w:r>
        <w:rPr>
          <w:rFonts w:hint="eastAsia"/>
          <w:szCs w:val="22"/>
          <w:lang w:val="en-US" w:eastAsia="zh-CN"/>
        </w:rPr>
        <w:t>风险评价的结果应作为成文信息予以保持和保留。</w:t>
      </w:r>
    </w:p>
    <w:p>
      <w:pPr>
        <w:pStyle w:val="51"/>
        <w:bidi w:val="0"/>
        <w:ind w:left="0" w:leftChars="0" w:firstLine="0" w:firstLineChars="0"/>
        <w:rPr>
          <w:rFonts w:hint="eastAsia"/>
          <w:lang w:val="en-US" w:eastAsia="zh-CN"/>
        </w:rPr>
      </w:pPr>
      <w:bookmarkStart w:id="108" w:name="_Toc18769"/>
      <w:bookmarkStart w:id="109" w:name="_Toc29769"/>
      <w:r>
        <w:rPr>
          <w:rFonts w:hint="eastAsia"/>
          <w:lang w:val="en-US" w:eastAsia="zh-CN"/>
        </w:rPr>
        <w:t>风险控制</w:t>
      </w:r>
      <w:bookmarkEnd w:id="108"/>
      <w:bookmarkEnd w:id="109"/>
    </w:p>
    <w:p>
      <w:pPr>
        <w:pStyle w:val="51"/>
        <w:numPr>
          <w:ilvl w:val="1"/>
          <w:numId w:val="0"/>
        </w:numPr>
        <w:bidi w:val="0"/>
        <w:ind w:leftChars="0"/>
        <w:rPr>
          <w:rFonts w:hint="default"/>
          <w:lang w:val="en-US" w:eastAsia="zh-CN"/>
        </w:rPr>
      </w:pPr>
      <w:bookmarkStart w:id="110" w:name="_Toc22687"/>
      <w:bookmarkStart w:id="111" w:name="_Toc28269"/>
      <w:bookmarkStart w:id="112" w:name="_Toc27378"/>
      <w:r>
        <w:rPr>
          <w:rFonts w:hint="eastAsia"/>
          <w:lang w:val="en-US" w:eastAsia="zh-CN"/>
        </w:rPr>
        <w:t>5.3.1策划</w:t>
      </w:r>
      <w:bookmarkEnd w:id="110"/>
      <w:bookmarkEnd w:id="111"/>
      <w:bookmarkEnd w:id="112"/>
    </w:p>
    <w:p>
      <w:pPr>
        <w:pStyle w:val="21"/>
        <w:rPr>
          <w:rFonts w:hint="eastAsia"/>
          <w:szCs w:val="22"/>
          <w:lang w:val="en-US" w:eastAsia="zh-CN"/>
        </w:rPr>
      </w:pPr>
      <w:r>
        <w:rPr>
          <w:rFonts w:hint="eastAsia"/>
          <w:lang w:val="en-US" w:eastAsia="zh-CN"/>
        </w:rPr>
        <w:t>企业应策划风险评估的措施并有效实施，以应对风险和机遇，满足合规义务，并对</w:t>
      </w:r>
      <w:r>
        <w:rPr>
          <w:rFonts w:hint="eastAsia"/>
          <w:szCs w:val="22"/>
          <w:lang w:val="en-US" w:eastAsia="zh-CN"/>
        </w:rPr>
        <w:t>紧急情况做出准备和响应。</w:t>
      </w:r>
    </w:p>
    <w:p>
      <w:pPr>
        <w:pStyle w:val="21"/>
        <w:rPr>
          <w:rFonts w:hint="default"/>
          <w:szCs w:val="22"/>
          <w:lang w:val="en-US" w:eastAsia="zh-CN"/>
        </w:rPr>
      </w:pPr>
      <w:r>
        <w:rPr>
          <w:rFonts w:hint="eastAsia"/>
          <w:szCs w:val="22"/>
          <w:lang w:val="en-US" w:eastAsia="zh-CN"/>
        </w:rPr>
        <w:t>企业在策划措施时，应考虑（包括但不限于）：</w:t>
      </w:r>
    </w:p>
    <w:p>
      <w:pPr>
        <w:pStyle w:val="21"/>
        <w:numPr>
          <w:ilvl w:val="0"/>
          <w:numId w:val="32"/>
        </w:numPr>
        <w:ind w:left="420" w:leftChars="0" w:firstLine="0" w:firstLineChars="0"/>
        <w:rPr>
          <w:rFonts w:hint="eastAsia"/>
          <w:szCs w:val="22"/>
          <w:lang w:val="en-US" w:eastAsia="zh-CN"/>
        </w:rPr>
      </w:pPr>
      <w:r>
        <w:rPr>
          <w:rFonts w:hint="eastAsia"/>
          <w:szCs w:val="22"/>
          <w:lang w:val="en-US" w:eastAsia="zh-CN"/>
        </w:rPr>
        <w:t>在安全与风险综合管理体系过程中或其他业务过程中融入并实施这些措施；</w:t>
      </w:r>
    </w:p>
    <w:p>
      <w:pPr>
        <w:pStyle w:val="21"/>
        <w:numPr>
          <w:ilvl w:val="0"/>
          <w:numId w:val="32"/>
        </w:numPr>
        <w:ind w:left="420" w:leftChars="0" w:firstLine="0" w:firstLineChars="0"/>
        <w:rPr>
          <w:rFonts w:hint="eastAsia"/>
          <w:szCs w:val="22"/>
          <w:lang w:val="en-US" w:eastAsia="zh-CN"/>
        </w:rPr>
      </w:pPr>
      <w:r>
        <w:rPr>
          <w:rFonts w:hint="eastAsia"/>
          <w:szCs w:val="22"/>
          <w:lang w:val="en-US" w:eastAsia="zh-CN"/>
        </w:rPr>
        <w:t>控制的层级和安全与风险综合管理体系的输出相对应；</w:t>
      </w:r>
    </w:p>
    <w:p>
      <w:pPr>
        <w:pStyle w:val="21"/>
        <w:numPr>
          <w:ilvl w:val="0"/>
          <w:numId w:val="32"/>
        </w:numPr>
        <w:ind w:left="420" w:leftChars="0" w:firstLine="0" w:firstLineChars="0"/>
        <w:rPr>
          <w:rFonts w:hint="eastAsia"/>
          <w:szCs w:val="22"/>
          <w:lang w:val="en-US" w:eastAsia="zh-CN"/>
        </w:rPr>
      </w:pPr>
      <w:r>
        <w:rPr>
          <w:rFonts w:hint="eastAsia"/>
          <w:szCs w:val="22"/>
          <w:lang w:val="en-US" w:eastAsia="zh-CN"/>
        </w:rPr>
        <w:t>最佳实践、可选技术方案以及财务、运行和经营等要求；</w:t>
      </w:r>
    </w:p>
    <w:p>
      <w:pPr>
        <w:pStyle w:val="21"/>
        <w:numPr>
          <w:ilvl w:val="0"/>
          <w:numId w:val="32"/>
        </w:numPr>
        <w:ind w:left="420" w:leftChars="0" w:firstLine="0" w:firstLineChars="0"/>
        <w:rPr>
          <w:rFonts w:hint="eastAsia"/>
          <w:szCs w:val="22"/>
          <w:lang w:val="en-US" w:eastAsia="zh-CN"/>
        </w:rPr>
      </w:pPr>
      <w:r>
        <w:rPr>
          <w:rFonts w:hint="eastAsia"/>
          <w:szCs w:val="22"/>
          <w:lang w:val="en-US" w:eastAsia="zh-CN"/>
        </w:rPr>
        <w:t>如何评价这些措施的有效性。</w:t>
      </w:r>
    </w:p>
    <w:p>
      <w:pPr>
        <w:pStyle w:val="51"/>
        <w:numPr>
          <w:ilvl w:val="1"/>
          <w:numId w:val="0"/>
        </w:numPr>
        <w:bidi w:val="0"/>
        <w:ind w:leftChars="0"/>
        <w:rPr>
          <w:rFonts w:hint="default"/>
          <w:lang w:val="en-US" w:eastAsia="zh-CN"/>
        </w:rPr>
      </w:pPr>
      <w:bookmarkStart w:id="113" w:name="_Toc13358"/>
      <w:bookmarkStart w:id="114" w:name="_Toc28417"/>
      <w:bookmarkStart w:id="115" w:name="_Toc22986"/>
      <w:r>
        <w:rPr>
          <w:rFonts w:hint="eastAsia"/>
          <w:lang w:val="en-US" w:eastAsia="zh-CN"/>
        </w:rPr>
        <w:t>5.3.2控制</w:t>
      </w:r>
      <w:bookmarkEnd w:id="113"/>
      <w:bookmarkEnd w:id="114"/>
      <w:bookmarkEnd w:id="115"/>
    </w:p>
    <w:p>
      <w:pPr>
        <w:pStyle w:val="21"/>
        <w:numPr>
          <w:ilvl w:val="0"/>
          <w:numId w:val="0"/>
        </w:numPr>
        <w:ind w:firstLine="420"/>
        <w:rPr>
          <w:rFonts w:hint="eastAsia"/>
          <w:szCs w:val="22"/>
          <w:lang w:val="en-US" w:eastAsia="zh-CN"/>
        </w:rPr>
      </w:pPr>
      <w:r>
        <w:rPr>
          <w:rFonts w:hint="eastAsia"/>
          <w:szCs w:val="22"/>
          <w:lang w:val="en-US" w:eastAsia="zh-CN"/>
        </w:rPr>
        <w:t>企业应遵循下列顺序选择风险控制方法：</w:t>
      </w:r>
    </w:p>
    <w:p>
      <w:pPr>
        <w:pStyle w:val="21"/>
        <w:numPr>
          <w:ilvl w:val="0"/>
          <w:numId w:val="33"/>
        </w:numPr>
        <w:ind w:left="420" w:leftChars="0" w:firstLine="0" w:firstLineChars="0"/>
        <w:rPr>
          <w:rFonts w:hint="eastAsia"/>
          <w:szCs w:val="22"/>
          <w:lang w:val="en-US" w:eastAsia="zh-CN"/>
        </w:rPr>
      </w:pPr>
      <w:r>
        <w:rPr>
          <w:rFonts w:hint="eastAsia"/>
          <w:szCs w:val="22"/>
          <w:lang w:val="en-US" w:eastAsia="zh-CN"/>
        </w:rPr>
        <w:t>消除/终止；</w:t>
      </w:r>
    </w:p>
    <w:p>
      <w:pPr>
        <w:pStyle w:val="21"/>
        <w:numPr>
          <w:ilvl w:val="0"/>
          <w:numId w:val="33"/>
        </w:numPr>
        <w:ind w:left="420" w:leftChars="0" w:firstLine="0" w:firstLineChars="0"/>
        <w:rPr>
          <w:rFonts w:hint="eastAsia"/>
          <w:szCs w:val="22"/>
          <w:lang w:val="en-US" w:eastAsia="zh-CN"/>
        </w:rPr>
      </w:pPr>
      <w:r>
        <w:rPr>
          <w:rFonts w:hint="eastAsia"/>
          <w:szCs w:val="22"/>
          <w:lang w:val="en-US" w:eastAsia="zh-CN"/>
        </w:rPr>
        <w:t>替代；</w:t>
      </w:r>
    </w:p>
    <w:p>
      <w:pPr>
        <w:pStyle w:val="21"/>
        <w:numPr>
          <w:ilvl w:val="0"/>
          <w:numId w:val="33"/>
        </w:numPr>
        <w:ind w:left="420" w:leftChars="0" w:firstLine="0" w:firstLineChars="0"/>
        <w:rPr>
          <w:rFonts w:hint="eastAsia"/>
          <w:szCs w:val="22"/>
          <w:lang w:val="en-US" w:eastAsia="zh-CN"/>
        </w:rPr>
      </w:pPr>
      <w:r>
        <w:rPr>
          <w:rFonts w:hint="eastAsia"/>
          <w:szCs w:val="22"/>
          <w:lang w:val="en-US" w:eastAsia="zh-CN"/>
        </w:rPr>
        <w:t>转移；</w:t>
      </w:r>
    </w:p>
    <w:p>
      <w:pPr>
        <w:pStyle w:val="21"/>
        <w:numPr>
          <w:ilvl w:val="0"/>
          <w:numId w:val="33"/>
        </w:numPr>
        <w:ind w:left="420" w:leftChars="0" w:firstLine="0" w:firstLineChars="0"/>
        <w:rPr>
          <w:rFonts w:hint="eastAsia"/>
          <w:szCs w:val="22"/>
          <w:lang w:val="en-US" w:eastAsia="zh-CN"/>
        </w:rPr>
      </w:pPr>
      <w:r>
        <w:rPr>
          <w:rFonts w:hint="eastAsia"/>
          <w:szCs w:val="22"/>
          <w:lang w:val="en-US" w:eastAsia="zh-CN"/>
        </w:rPr>
        <w:t>工程；</w:t>
      </w:r>
    </w:p>
    <w:p>
      <w:pPr>
        <w:pStyle w:val="21"/>
        <w:numPr>
          <w:ilvl w:val="0"/>
          <w:numId w:val="33"/>
        </w:numPr>
        <w:ind w:left="420" w:leftChars="0" w:firstLine="0" w:firstLineChars="0"/>
        <w:rPr>
          <w:rFonts w:hint="eastAsia"/>
          <w:szCs w:val="22"/>
          <w:lang w:val="en-US" w:eastAsia="zh-CN"/>
        </w:rPr>
      </w:pPr>
      <w:r>
        <w:rPr>
          <w:rFonts w:hint="eastAsia"/>
          <w:szCs w:val="22"/>
          <w:lang w:val="en-US" w:eastAsia="zh-CN"/>
        </w:rPr>
        <w:t>隔离；</w:t>
      </w:r>
    </w:p>
    <w:p>
      <w:pPr>
        <w:pStyle w:val="21"/>
        <w:numPr>
          <w:ilvl w:val="0"/>
          <w:numId w:val="33"/>
        </w:numPr>
        <w:ind w:left="420" w:leftChars="0" w:firstLine="0" w:firstLineChars="0"/>
        <w:rPr>
          <w:rFonts w:hint="eastAsia"/>
          <w:szCs w:val="22"/>
          <w:lang w:val="en-US" w:eastAsia="zh-CN"/>
        </w:rPr>
      </w:pPr>
      <w:r>
        <w:rPr>
          <w:rFonts w:hint="eastAsia"/>
          <w:szCs w:val="22"/>
          <w:lang w:val="en-US" w:eastAsia="zh-CN"/>
        </w:rPr>
        <w:t>行政管理；</w:t>
      </w:r>
    </w:p>
    <w:p>
      <w:pPr>
        <w:pStyle w:val="21"/>
        <w:numPr>
          <w:ilvl w:val="0"/>
          <w:numId w:val="33"/>
        </w:numPr>
        <w:ind w:left="420" w:leftChars="0" w:firstLine="0" w:firstLineChars="0"/>
        <w:rPr>
          <w:rFonts w:hint="eastAsia"/>
          <w:szCs w:val="22"/>
          <w:lang w:val="en-US" w:eastAsia="zh-CN"/>
        </w:rPr>
      </w:pPr>
      <w:r>
        <w:rPr>
          <w:rFonts w:hint="eastAsia"/>
          <w:szCs w:val="22"/>
          <w:lang w:val="en-US" w:eastAsia="zh-CN"/>
        </w:rPr>
        <w:t>个人防护。</w:t>
      </w:r>
    </w:p>
    <w:p>
      <w:pPr>
        <w:pStyle w:val="21"/>
        <w:numPr>
          <w:ilvl w:val="0"/>
          <w:numId w:val="0"/>
        </w:numPr>
        <w:ind w:firstLine="420"/>
        <w:rPr>
          <w:rFonts w:hint="eastAsia"/>
          <w:szCs w:val="22"/>
          <w:lang w:val="en-US" w:eastAsia="zh-CN"/>
        </w:rPr>
      </w:pPr>
      <w:r>
        <w:rPr>
          <w:rFonts w:hint="eastAsia"/>
          <w:szCs w:val="22"/>
          <w:lang w:val="en-US" w:eastAsia="zh-CN"/>
        </w:rPr>
        <w:t>企业在制定风险控制措施时应考虑：</w:t>
      </w:r>
    </w:p>
    <w:p>
      <w:pPr>
        <w:pStyle w:val="21"/>
        <w:numPr>
          <w:ilvl w:val="0"/>
          <w:numId w:val="0"/>
        </w:numPr>
        <w:ind w:firstLine="420"/>
        <w:rPr>
          <w:rFonts w:hint="eastAsia"/>
          <w:szCs w:val="22"/>
          <w:lang w:val="en-US" w:eastAsia="zh-CN"/>
        </w:rPr>
      </w:pPr>
      <w:r>
        <w:rPr>
          <w:rFonts w:hint="eastAsia"/>
          <w:szCs w:val="22"/>
          <w:lang w:val="en-US" w:eastAsia="zh-CN"/>
        </w:rPr>
        <w:t>——针对性与可行性；</w:t>
      </w:r>
    </w:p>
    <w:p>
      <w:pPr>
        <w:pStyle w:val="21"/>
        <w:numPr>
          <w:ilvl w:val="0"/>
          <w:numId w:val="0"/>
        </w:numPr>
        <w:ind w:firstLine="420"/>
        <w:rPr>
          <w:rFonts w:hint="eastAsia"/>
          <w:szCs w:val="22"/>
          <w:lang w:val="en-US" w:eastAsia="zh-CN"/>
        </w:rPr>
      </w:pPr>
      <w:r>
        <w:rPr>
          <w:rFonts w:hint="eastAsia"/>
          <w:szCs w:val="22"/>
          <w:lang w:val="en-US" w:eastAsia="zh-CN"/>
        </w:rPr>
        <w:t>——可操作性；</w:t>
      </w:r>
    </w:p>
    <w:p>
      <w:pPr>
        <w:pStyle w:val="21"/>
        <w:numPr>
          <w:ilvl w:val="0"/>
          <w:numId w:val="0"/>
        </w:numPr>
        <w:ind w:firstLine="420"/>
        <w:rPr>
          <w:rFonts w:hint="eastAsia"/>
          <w:szCs w:val="22"/>
          <w:lang w:val="en-US" w:eastAsia="zh-CN"/>
        </w:rPr>
      </w:pPr>
      <w:r>
        <w:rPr>
          <w:rFonts w:hint="eastAsia"/>
          <w:szCs w:val="22"/>
          <w:lang w:val="en-US" w:eastAsia="zh-CN"/>
        </w:rPr>
        <w:t>——有效性；</w:t>
      </w:r>
    </w:p>
    <w:p>
      <w:pPr>
        <w:pStyle w:val="21"/>
        <w:numPr>
          <w:ilvl w:val="0"/>
          <w:numId w:val="0"/>
        </w:numPr>
        <w:ind w:firstLine="420"/>
        <w:rPr>
          <w:rFonts w:hint="eastAsia"/>
          <w:szCs w:val="22"/>
          <w:lang w:val="en-US" w:eastAsia="zh-CN"/>
        </w:rPr>
      </w:pPr>
      <w:r>
        <w:rPr>
          <w:rFonts w:hint="eastAsia"/>
          <w:szCs w:val="22"/>
          <w:lang w:val="en-US" w:eastAsia="zh-CN"/>
        </w:rPr>
        <w:t>——经济性；</w:t>
      </w:r>
    </w:p>
    <w:p>
      <w:pPr>
        <w:pStyle w:val="21"/>
        <w:numPr>
          <w:ilvl w:val="0"/>
          <w:numId w:val="0"/>
        </w:numPr>
        <w:ind w:firstLine="420"/>
        <w:rPr>
          <w:rFonts w:hint="eastAsia"/>
          <w:szCs w:val="22"/>
          <w:lang w:val="en-US" w:eastAsia="zh-CN"/>
        </w:rPr>
      </w:pPr>
      <w:r>
        <w:rPr>
          <w:rFonts w:hint="eastAsia"/>
          <w:szCs w:val="22"/>
          <w:lang w:val="en-US" w:eastAsia="zh-CN"/>
        </w:rPr>
        <w:t>——资源保障；</w:t>
      </w:r>
    </w:p>
    <w:p>
      <w:pPr>
        <w:pStyle w:val="21"/>
        <w:numPr>
          <w:ilvl w:val="0"/>
          <w:numId w:val="0"/>
        </w:numPr>
        <w:ind w:firstLine="420"/>
        <w:rPr>
          <w:rFonts w:hint="eastAsia"/>
          <w:szCs w:val="22"/>
          <w:lang w:val="en-US" w:eastAsia="zh-CN"/>
        </w:rPr>
      </w:pPr>
      <w:r>
        <w:rPr>
          <w:rFonts w:hint="eastAsia"/>
          <w:szCs w:val="22"/>
          <w:lang w:val="en-US" w:eastAsia="zh-CN"/>
        </w:rPr>
        <w:t>——控制措施可能带来的新风险。</w:t>
      </w:r>
    </w:p>
    <w:p>
      <w:pPr>
        <w:pStyle w:val="21"/>
        <w:numPr>
          <w:ilvl w:val="0"/>
          <w:numId w:val="0"/>
        </w:numPr>
        <w:ind w:firstLine="420"/>
        <w:rPr>
          <w:rFonts w:hint="eastAsia"/>
          <w:szCs w:val="22"/>
          <w:lang w:val="en-US" w:eastAsia="zh-CN"/>
        </w:rPr>
      </w:pPr>
      <w:r>
        <w:rPr>
          <w:rFonts w:hint="eastAsia"/>
          <w:szCs w:val="22"/>
          <w:lang w:val="en-US" w:eastAsia="zh-CN"/>
        </w:rPr>
        <w:t>重大的风险问题及其控制措施建议应及时提交审议。</w:t>
      </w:r>
    </w:p>
    <w:p>
      <w:pPr>
        <w:pStyle w:val="21"/>
        <w:numPr>
          <w:ilvl w:val="0"/>
          <w:numId w:val="0"/>
        </w:numPr>
        <w:ind w:firstLine="420"/>
        <w:rPr>
          <w:rFonts w:hint="eastAsia"/>
          <w:szCs w:val="22"/>
          <w:lang w:val="en-US" w:eastAsia="zh-CN"/>
        </w:rPr>
      </w:pPr>
      <w:r>
        <w:rPr>
          <w:rFonts w:hint="eastAsia"/>
          <w:szCs w:val="22"/>
          <w:lang w:val="en-US" w:eastAsia="zh-CN"/>
        </w:rPr>
        <w:t>企业应鼓励开展以降低安全生产风险为目的的关键性技术及难题的研究。</w:t>
      </w:r>
    </w:p>
    <w:p>
      <w:pPr>
        <w:pStyle w:val="21"/>
        <w:numPr>
          <w:ilvl w:val="0"/>
          <w:numId w:val="0"/>
        </w:numPr>
        <w:ind w:firstLine="420"/>
        <w:rPr>
          <w:rFonts w:hint="eastAsia"/>
          <w:szCs w:val="22"/>
          <w:lang w:val="en-US" w:eastAsia="zh-CN"/>
        </w:rPr>
      </w:pPr>
      <w:r>
        <w:rPr>
          <w:rFonts w:hint="eastAsia"/>
          <w:szCs w:val="22"/>
          <w:lang w:val="en-US" w:eastAsia="zh-CN"/>
        </w:rPr>
        <w:t>安全科技成果（包括新产品、新技术、新工艺、新材料、新设计、新设备等）应用前应进行风险评估与分析，并制定必要的风险控制措施。</w:t>
      </w:r>
    </w:p>
    <w:p>
      <w:pPr>
        <w:pStyle w:val="21"/>
        <w:numPr>
          <w:ilvl w:val="0"/>
          <w:numId w:val="0"/>
        </w:numPr>
        <w:ind w:left="420" w:leftChars="0"/>
        <w:rPr>
          <w:rFonts w:hint="default"/>
          <w:szCs w:val="22"/>
          <w:lang w:val="en-US" w:eastAsia="zh-CN"/>
        </w:rPr>
      </w:pPr>
      <w:r>
        <w:rPr>
          <w:rFonts w:hint="eastAsia"/>
          <w:szCs w:val="22"/>
          <w:lang w:val="en-US" w:eastAsia="zh-CN"/>
        </w:rPr>
        <w:t>风险控制措施应作为成文信息予以保持和保留。</w:t>
      </w:r>
    </w:p>
    <w:p>
      <w:pPr>
        <w:pStyle w:val="51"/>
        <w:bidi w:val="0"/>
        <w:ind w:left="0" w:leftChars="0" w:firstLine="0" w:firstLineChars="0"/>
        <w:rPr>
          <w:rFonts w:hint="eastAsia"/>
          <w:lang w:val="en-US" w:eastAsia="zh-CN"/>
        </w:rPr>
      </w:pPr>
      <w:bookmarkStart w:id="116" w:name="_Toc25010"/>
      <w:bookmarkStart w:id="117" w:name="_Toc7740"/>
      <w:bookmarkStart w:id="118" w:name="_Toc31122"/>
      <w:r>
        <w:rPr>
          <w:rFonts w:hint="eastAsia"/>
          <w:lang w:val="en-US" w:eastAsia="zh-CN"/>
        </w:rPr>
        <w:t>投入保障</w:t>
      </w:r>
      <w:bookmarkEnd w:id="116"/>
      <w:bookmarkEnd w:id="117"/>
      <w:bookmarkEnd w:id="118"/>
    </w:p>
    <w:p>
      <w:pPr>
        <w:pStyle w:val="51"/>
        <w:numPr>
          <w:ilvl w:val="0"/>
          <w:numId w:val="0"/>
        </w:numPr>
        <w:bidi w:val="0"/>
        <w:ind w:leftChars="0"/>
        <w:rPr>
          <w:rFonts w:hint="eastAsia"/>
          <w:lang w:val="en-US" w:eastAsia="zh-CN"/>
        </w:rPr>
      </w:pPr>
      <w:bookmarkStart w:id="119" w:name="_Toc22476"/>
      <w:bookmarkStart w:id="120" w:name="_Toc15255"/>
      <w:bookmarkStart w:id="121" w:name="_Toc9709"/>
      <w:r>
        <w:rPr>
          <w:rFonts w:hint="eastAsia"/>
          <w:lang w:val="en-US" w:eastAsia="zh-CN"/>
        </w:rPr>
        <w:t>5.4.1安全经费</w:t>
      </w:r>
      <w:bookmarkEnd w:id="119"/>
      <w:bookmarkEnd w:id="120"/>
      <w:bookmarkEnd w:id="121"/>
    </w:p>
    <w:p>
      <w:pPr>
        <w:pStyle w:val="21"/>
        <w:numPr>
          <w:ilvl w:val="0"/>
          <w:numId w:val="0"/>
        </w:numPr>
        <w:ind w:firstLine="420"/>
        <w:rPr>
          <w:rFonts w:hint="eastAsia" w:ascii="宋体" w:hAnsi="Times New Roman" w:eastAsia="宋体" w:cs="Times New Roman"/>
          <w:szCs w:val="22"/>
          <w:lang w:val="en-US" w:eastAsia="zh-CN"/>
        </w:rPr>
      </w:pPr>
      <w:r>
        <w:rPr>
          <w:rFonts w:hint="eastAsia" w:ascii="宋体" w:hAnsi="Times New Roman" w:eastAsia="宋体" w:cs="Times New Roman"/>
          <w:szCs w:val="22"/>
          <w:lang w:val="en-US" w:eastAsia="zh-CN"/>
        </w:rPr>
        <w:t>安全费用按照“确保需要、规范使用”的原则，纳入企业预算管理，优先确保重大风险控制所需资金的投入。</w:t>
      </w:r>
    </w:p>
    <w:p>
      <w:pPr>
        <w:pStyle w:val="21"/>
        <w:numPr>
          <w:ilvl w:val="0"/>
          <w:numId w:val="0"/>
        </w:numPr>
        <w:ind w:firstLine="420"/>
        <w:rPr>
          <w:rFonts w:hint="eastAsia" w:ascii="宋体" w:hAnsi="Times New Roman" w:eastAsia="宋体" w:cs="Times New Roman"/>
          <w:szCs w:val="22"/>
          <w:lang w:val="en-US" w:eastAsia="zh-CN"/>
        </w:rPr>
      </w:pPr>
      <w:r>
        <w:rPr>
          <w:rFonts w:hint="eastAsia" w:ascii="宋体" w:hAnsi="Times New Roman" w:eastAsia="宋体" w:cs="Times New Roman"/>
          <w:szCs w:val="22"/>
          <w:lang w:val="en-US" w:eastAsia="zh-CN"/>
        </w:rPr>
        <w:t>企业应：</w:t>
      </w:r>
    </w:p>
    <w:p>
      <w:pPr>
        <w:pStyle w:val="21"/>
        <w:numPr>
          <w:ilvl w:val="0"/>
          <w:numId w:val="34"/>
        </w:numPr>
        <w:ind w:left="420" w:leftChars="0" w:firstLine="0" w:firstLineChars="0"/>
        <w:rPr>
          <w:rFonts w:hint="eastAsia" w:ascii="宋体" w:hAnsi="Times New Roman" w:eastAsia="宋体" w:cs="Times New Roman"/>
          <w:szCs w:val="22"/>
          <w:lang w:val="en-US" w:eastAsia="zh-CN"/>
        </w:rPr>
      </w:pPr>
      <w:r>
        <w:rPr>
          <w:rFonts w:hint="eastAsia" w:ascii="宋体" w:hAnsi="Times New Roman" w:eastAsia="宋体" w:cs="Times New Roman"/>
          <w:szCs w:val="22"/>
          <w:lang w:val="en-US" w:eastAsia="zh-CN"/>
        </w:rPr>
        <w:t>建立安全经费计划、提取及使用、结算管理</w:t>
      </w:r>
      <w:r>
        <w:rPr>
          <w:rFonts w:hint="eastAsia" w:cs="Times New Roman"/>
          <w:szCs w:val="22"/>
          <w:lang w:val="en-US" w:eastAsia="zh-CN"/>
        </w:rPr>
        <w:t>制度</w:t>
      </w:r>
      <w:r>
        <w:rPr>
          <w:rFonts w:hint="eastAsia" w:ascii="宋体" w:hAnsi="Times New Roman" w:eastAsia="宋体" w:cs="Times New Roman"/>
          <w:szCs w:val="22"/>
          <w:lang w:val="en-US" w:eastAsia="zh-CN"/>
        </w:rPr>
        <w:t>；</w:t>
      </w:r>
    </w:p>
    <w:p>
      <w:pPr>
        <w:pStyle w:val="21"/>
        <w:numPr>
          <w:ilvl w:val="0"/>
          <w:numId w:val="34"/>
        </w:numPr>
        <w:ind w:left="420" w:leftChars="0" w:firstLine="0" w:firstLineChars="0"/>
        <w:rPr>
          <w:rFonts w:hint="eastAsia" w:ascii="宋体" w:hAnsi="Times New Roman" w:eastAsia="宋体" w:cs="Times New Roman"/>
          <w:szCs w:val="22"/>
          <w:lang w:val="en-US" w:eastAsia="zh-CN"/>
        </w:rPr>
      </w:pPr>
      <w:r>
        <w:rPr>
          <w:rFonts w:hint="eastAsia" w:ascii="宋体" w:hAnsi="Times New Roman" w:eastAsia="宋体" w:cs="Times New Roman"/>
          <w:szCs w:val="22"/>
          <w:lang w:val="en-US" w:eastAsia="zh-CN"/>
        </w:rPr>
        <w:t>按照计划的时间间隔编制安全经费投入计划；</w:t>
      </w:r>
    </w:p>
    <w:p>
      <w:pPr>
        <w:pStyle w:val="21"/>
        <w:numPr>
          <w:ilvl w:val="0"/>
          <w:numId w:val="34"/>
        </w:numPr>
        <w:ind w:left="420" w:leftChars="0" w:firstLine="0" w:firstLineChars="0"/>
        <w:rPr>
          <w:rFonts w:hint="eastAsia" w:ascii="宋体" w:hAnsi="Times New Roman" w:eastAsia="宋体" w:cs="Times New Roman"/>
          <w:szCs w:val="22"/>
          <w:lang w:val="en-US" w:eastAsia="zh-CN"/>
        </w:rPr>
      </w:pPr>
      <w:r>
        <w:rPr>
          <w:rFonts w:hint="eastAsia" w:ascii="宋体" w:hAnsi="Times New Roman" w:eastAsia="宋体" w:cs="Times New Roman"/>
          <w:szCs w:val="22"/>
          <w:lang w:val="en-US" w:eastAsia="zh-CN"/>
        </w:rPr>
        <w:t>安全费用的提取应满足安全生产实际需要，专户核算，专款专用，按规定安排使用</w:t>
      </w:r>
      <w:r>
        <w:rPr>
          <w:rFonts w:hint="eastAsia" w:cs="Times New Roman"/>
          <w:szCs w:val="22"/>
          <w:lang w:val="en-US" w:eastAsia="zh-CN"/>
        </w:rPr>
        <w:t>；</w:t>
      </w:r>
    </w:p>
    <w:p>
      <w:pPr>
        <w:pStyle w:val="21"/>
        <w:numPr>
          <w:ilvl w:val="0"/>
          <w:numId w:val="34"/>
        </w:numPr>
        <w:ind w:left="420" w:leftChars="0" w:firstLine="0" w:firstLineChars="0"/>
        <w:rPr>
          <w:rFonts w:hint="default" w:ascii="宋体" w:hAnsi="Times New Roman" w:eastAsia="宋体" w:cs="Times New Roman"/>
          <w:szCs w:val="22"/>
          <w:lang w:val="en-US" w:eastAsia="zh-CN"/>
        </w:rPr>
      </w:pPr>
      <w:r>
        <w:rPr>
          <w:rFonts w:hint="eastAsia" w:ascii="宋体" w:hAnsi="Times New Roman" w:eastAsia="宋体" w:cs="Times New Roman"/>
          <w:szCs w:val="22"/>
          <w:lang w:val="en-US" w:eastAsia="zh-CN"/>
        </w:rPr>
        <w:t>按照计划的时间间隔对安全经费的使用情况进行核算。</w:t>
      </w:r>
    </w:p>
    <w:p>
      <w:pPr>
        <w:pStyle w:val="21"/>
        <w:numPr>
          <w:ilvl w:val="0"/>
          <w:numId w:val="0"/>
        </w:numPr>
        <w:ind w:firstLine="420"/>
        <w:rPr>
          <w:rFonts w:hint="eastAsia" w:ascii="宋体" w:hAnsi="Times New Roman" w:eastAsia="宋体" w:cs="Times New Roman"/>
          <w:szCs w:val="22"/>
          <w:lang w:val="en-US" w:eastAsia="zh-CN"/>
        </w:rPr>
      </w:pPr>
      <w:r>
        <w:rPr>
          <w:rFonts w:hint="eastAsia" w:ascii="宋体" w:hAnsi="Times New Roman" w:eastAsia="宋体" w:cs="Times New Roman"/>
          <w:szCs w:val="22"/>
          <w:lang w:val="en-US" w:eastAsia="zh-CN"/>
        </w:rPr>
        <w:t>企业应将安全费用优先用于满足企业安全生产整改措施或者达到安全生产标准所需的支出。</w:t>
      </w:r>
    </w:p>
    <w:p>
      <w:pPr>
        <w:pStyle w:val="21"/>
        <w:numPr>
          <w:ilvl w:val="0"/>
          <w:numId w:val="0"/>
        </w:numPr>
        <w:ind w:firstLine="420"/>
        <w:rPr>
          <w:rFonts w:hint="default" w:ascii="宋体" w:hAnsi="Times New Roman" w:eastAsia="宋体" w:cs="Times New Roman"/>
          <w:szCs w:val="22"/>
          <w:lang w:val="en-US" w:eastAsia="zh-CN"/>
        </w:rPr>
      </w:pPr>
      <w:r>
        <w:rPr>
          <w:rFonts w:hint="eastAsia" w:ascii="宋体" w:hAnsi="Times New Roman" w:eastAsia="宋体" w:cs="Times New Roman"/>
          <w:szCs w:val="22"/>
          <w:lang w:val="en-US" w:eastAsia="zh-CN"/>
        </w:rPr>
        <w:t>安全经费的管理过程应作为成文信息予以保持和保留。</w:t>
      </w:r>
    </w:p>
    <w:p>
      <w:pPr>
        <w:pStyle w:val="51"/>
        <w:numPr>
          <w:ilvl w:val="0"/>
          <w:numId w:val="0"/>
        </w:numPr>
        <w:bidi w:val="0"/>
        <w:ind w:leftChars="0"/>
        <w:rPr>
          <w:rFonts w:hint="eastAsia"/>
          <w:lang w:val="en-US" w:eastAsia="zh-CN"/>
        </w:rPr>
      </w:pPr>
      <w:bookmarkStart w:id="122" w:name="_Toc2772"/>
      <w:bookmarkStart w:id="123" w:name="_Toc26770"/>
      <w:bookmarkStart w:id="124" w:name="_Toc15580"/>
      <w:r>
        <w:rPr>
          <w:rFonts w:hint="eastAsia"/>
          <w:lang w:val="en-US" w:eastAsia="zh-CN"/>
        </w:rPr>
        <w:t>5.4.2风险投入</w:t>
      </w:r>
      <w:bookmarkEnd w:id="122"/>
      <w:bookmarkEnd w:id="123"/>
      <w:bookmarkEnd w:id="124"/>
    </w:p>
    <w:p>
      <w:pPr>
        <w:pStyle w:val="21"/>
        <w:rPr>
          <w:rFonts w:hint="eastAsia"/>
          <w:lang w:val="en-US" w:eastAsia="zh-CN"/>
        </w:rPr>
      </w:pPr>
      <w:r>
        <w:rPr>
          <w:rFonts w:hint="eastAsia"/>
          <w:lang w:val="en-US" w:eastAsia="zh-CN"/>
        </w:rPr>
        <w:t>企业应对拟采取风险控制措施的有效性及其成本因素进行综合分析，确定合适的风险控制措施，并落实人、财、物等资源保障，提升其成本效益。</w:t>
      </w:r>
    </w:p>
    <w:p>
      <w:pPr>
        <w:pStyle w:val="21"/>
        <w:rPr>
          <w:rFonts w:hint="eastAsia"/>
          <w:lang w:val="en-US" w:eastAsia="zh-CN"/>
        </w:rPr>
      </w:pPr>
      <w:r>
        <w:rPr>
          <w:rFonts w:hint="eastAsia"/>
          <w:lang w:val="en-US" w:eastAsia="zh-CN"/>
        </w:rPr>
        <w:t>企业应：</w:t>
      </w:r>
    </w:p>
    <w:p>
      <w:pPr>
        <w:pStyle w:val="21"/>
        <w:rPr>
          <w:rFonts w:hint="default"/>
          <w:lang w:val="en-US" w:eastAsia="zh-CN"/>
        </w:rPr>
      </w:pPr>
      <w:r>
        <w:rPr>
          <w:rFonts w:hint="eastAsia"/>
          <w:lang w:val="en-US" w:eastAsia="zh-CN"/>
        </w:rPr>
        <w:t>a）优先确保重大风险控制所需资金的投入；</w:t>
      </w:r>
    </w:p>
    <w:p>
      <w:pPr>
        <w:pStyle w:val="21"/>
        <w:rPr>
          <w:rFonts w:hint="eastAsia"/>
          <w:lang w:val="en-US" w:eastAsia="zh-CN"/>
        </w:rPr>
      </w:pPr>
      <w:r>
        <w:rPr>
          <w:rFonts w:hint="eastAsia"/>
          <w:lang w:val="en-US" w:eastAsia="zh-CN"/>
        </w:rPr>
        <w:t>b）将控制风险所需资金纳入生产经营预算；</w:t>
      </w:r>
    </w:p>
    <w:p>
      <w:pPr>
        <w:pStyle w:val="21"/>
        <w:rPr>
          <w:rFonts w:hint="eastAsia" w:cs="Times New Roman"/>
          <w:szCs w:val="22"/>
          <w:lang w:val="en-US" w:eastAsia="zh-CN"/>
        </w:rPr>
      </w:pPr>
      <w:r>
        <w:rPr>
          <w:rFonts w:hint="eastAsia" w:cs="Times New Roman"/>
          <w:szCs w:val="22"/>
          <w:lang w:val="en-US" w:eastAsia="zh-CN"/>
        </w:rPr>
        <w:t>c）</w:t>
      </w:r>
      <w:r>
        <w:rPr>
          <w:rFonts w:hint="eastAsia" w:ascii="宋体" w:hAnsi="Times New Roman" w:eastAsia="宋体" w:cs="Times New Roman"/>
          <w:szCs w:val="22"/>
          <w:lang w:val="en-US" w:eastAsia="zh-CN"/>
        </w:rPr>
        <w:t>缴纳安全生产责任保险</w:t>
      </w:r>
      <w:r>
        <w:rPr>
          <w:rFonts w:hint="eastAsia" w:cs="Times New Roman"/>
          <w:szCs w:val="22"/>
          <w:lang w:val="en-US" w:eastAsia="zh-CN"/>
        </w:rPr>
        <w:t>、工伤保险等</w:t>
      </w:r>
      <w:r>
        <w:rPr>
          <w:rFonts w:hint="eastAsia" w:ascii="宋体" w:hAnsi="Times New Roman" w:eastAsia="宋体" w:cs="Times New Roman"/>
          <w:szCs w:val="22"/>
          <w:lang w:val="en-US" w:eastAsia="zh-CN"/>
        </w:rPr>
        <w:t>，适应安全生产新形势、新需求</w:t>
      </w:r>
      <w:r>
        <w:rPr>
          <w:rFonts w:hint="eastAsia" w:cs="Times New Roman"/>
          <w:szCs w:val="22"/>
          <w:lang w:val="en-US" w:eastAsia="zh-CN"/>
        </w:rPr>
        <w:t>。</w:t>
      </w:r>
    </w:p>
    <w:p>
      <w:pPr>
        <w:pStyle w:val="21"/>
        <w:numPr>
          <w:ilvl w:val="0"/>
          <w:numId w:val="0"/>
        </w:numPr>
        <w:ind w:left="0" w:leftChars="0" w:firstLine="420" w:firstLineChars="0"/>
        <w:rPr>
          <w:rFonts w:hint="eastAsia"/>
          <w:lang w:val="en-US" w:eastAsia="zh-CN"/>
        </w:rPr>
      </w:pPr>
      <w:r>
        <w:rPr>
          <w:rFonts w:hint="eastAsia"/>
          <w:lang w:val="en-US" w:eastAsia="zh-CN"/>
        </w:rPr>
        <w:t>企业应按计划的时间间隔对风险投入进行分析和评估，包括：</w:t>
      </w:r>
    </w:p>
    <w:p>
      <w:pPr>
        <w:pStyle w:val="21"/>
        <w:numPr>
          <w:ilvl w:val="0"/>
          <w:numId w:val="0"/>
        </w:numPr>
        <w:ind w:left="0" w:leftChars="0" w:firstLine="420" w:firstLineChars="0"/>
        <w:rPr>
          <w:rFonts w:hint="eastAsia" w:ascii="宋体" w:hAnsi="Times New Roman" w:eastAsia="宋体" w:cs="Times New Roman"/>
          <w:szCs w:val="22"/>
          <w:lang w:val="en-US" w:eastAsia="zh-CN"/>
        </w:rPr>
      </w:pPr>
      <w:r>
        <w:rPr>
          <w:rFonts w:hint="eastAsia"/>
          <w:lang w:val="en-US" w:eastAsia="zh-CN"/>
        </w:rPr>
        <w:t>——</w:t>
      </w:r>
      <w:r>
        <w:rPr>
          <w:rFonts w:hint="eastAsia" w:ascii="宋体" w:hAnsi="Times New Roman" w:eastAsia="宋体" w:cs="Times New Roman"/>
          <w:szCs w:val="22"/>
          <w:lang w:val="en-US" w:eastAsia="zh-CN"/>
        </w:rPr>
        <w:t>投入的资源及成本；</w:t>
      </w:r>
    </w:p>
    <w:p>
      <w:pPr>
        <w:pStyle w:val="21"/>
        <w:numPr>
          <w:ilvl w:val="0"/>
          <w:numId w:val="0"/>
        </w:numPr>
        <w:ind w:left="0" w:leftChars="0" w:firstLine="420" w:firstLineChars="0"/>
        <w:rPr>
          <w:rFonts w:hint="eastAsia" w:ascii="宋体" w:hAnsi="Times New Roman" w:eastAsia="宋体" w:cs="Times New Roman"/>
          <w:szCs w:val="22"/>
          <w:lang w:val="en-US" w:eastAsia="zh-CN"/>
        </w:rPr>
      </w:pPr>
      <w:r>
        <w:rPr>
          <w:rFonts w:hint="eastAsia" w:cs="Times New Roman"/>
          <w:szCs w:val="22"/>
          <w:lang w:val="en-US" w:eastAsia="zh-CN"/>
        </w:rPr>
        <w:t>——</w:t>
      </w:r>
      <w:r>
        <w:rPr>
          <w:rFonts w:hint="eastAsia" w:ascii="宋体" w:hAnsi="Times New Roman" w:eastAsia="宋体" w:cs="Times New Roman"/>
          <w:szCs w:val="22"/>
          <w:lang w:val="en-US" w:eastAsia="zh-CN"/>
        </w:rPr>
        <w:t>避免的潜在损失；</w:t>
      </w:r>
    </w:p>
    <w:p>
      <w:pPr>
        <w:pStyle w:val="21"/>
        <w:numPr>
          <w:ilvl w:val="0"/>
          <w:numId w:val="0"/>
        </w:numPr>
        <w:ind w:left="0" w:leftChars="0" w:firstLine="420" w:firstLineChars="0"/>
        <w:rPr>
          <w:rFonts w:hint="eastAsia" w:ascii="宋体" w:hAnsi="Times New Roman" w:eastAsia="宋体" w:cs="Times New Roman"/>
          <w:szCs w:val="22"/>
          <w:lang w:val="en-US" w:eastAsia="zh-CN"/>
        </w:rPr>
      </w:pPr>
      <w:r>
        <w:rPr>
          <w:rFonts w:hint="eastAsia" w:cs="Times New Roman"/>
          <w:szCs w:val="22"/>
          <w:lang w:val="en-US" w:eastAsia="zh-CN"/>
        </w:rPr>
        <w:t>——</w:t>
      </w:r>
      <w:r>
        <w:rPr>
          <w:rFonts w:hint="eastAsia" w:ascii="宋体" w:hAnsi="Times New Roman" w:eastAsia="宋体" w:cs="Times New Roman"/>
          <w:szCs w:val="22"/>
          <w:lang w:val="en-US" w:eastAsia="zh-CN"/>
        </w:rPr>
        <w:t>消除或减轻风险的效果；</w:t>
      </w:r>
    </w:p>
    <w:p>
      <w:pPr>
        <w:pStyle w:val="21"/>
        <w:numPr>
          <w:ilvl w:val="0"/>
          <w:numId w:val="0"/>
        </w:numPr>
        <w:ind w:left="0" w:leftChars="0" w:firstLine="420" w:firstLineChars="0"/>
        <w:rPr>
          <w:rFonts w:hint="eastAsia" w:ascii="宋体" w:hAnsi="Times New Roman" w:eastAsia="宋体" w:cs="Times New Roman"/>
          <w:szCs w:val="22"/>
          <w:lang w:val="en-US" w:eastAsia="zh-CN"/>
        </w:rPr>
      </w:pPr>
      <w:r>
        <w:rPr>
          <w:rFonts w:hint="eastAsia" w:cs="Times New Roman"/>
          <w:szCs w:val="22"/>
          <w:lang w:val="en-US" w:eastAsia="zh-CN"/>
        </w:rPr>
        <w:t>——</w:t>
      </w:r>
      <w:r>
        <w:rPr>
          <w:rFonts w:hint="eastAsia" w:ascii="宋体" w:hAnsi="Times New Roman" w:eastAsia="宋体" w:cs="Times New Roman"/>
          <w:szCs w:val="22"/>
          <w:lang w:val="en-US" w:eastAsia="zh-CN"/>
        </w:rPr>
        <w:t>节约的成本；</w:t>
      </w:r>
    </w:p>
    <w:p>
      <w:pPr>
        <w:pStyle w:val="21"/>
        <w:numPr>
          <w:ilvl w:val="0"/>
          <w:numId w:val="0"/>
        </w:numPr>
        <w:ind w:left="0" w:leftChars="0" w:firstLine="420" w:firstLineChars="0"/>
        <w:rPr>
          <w:rFonts w:hint="eastAsia" w:ascii="宋体" w:hAnsi="Times New Roman" w:eastAsia="宋体" w:cs="Times New Roman"/>
          <w:szCs w:val="22"/>
          <w:lang w:val="en-US" w:eastAsia="zh-CN"/>
        </w:rPr>
      </w:pPr>
      <w:r>
        <w:rPr>
          <w:rFonts w:hint="eastAsia" w:cs="Times New Roman"/>
          <w:szCs w:val="22"/>
          <w:lang w:val="en-US" w:eastAsia="zh-CN"/>
        </w:rPr>
        <w:t>——</w:t>
      </w:r>
      <w:r>
        <w:rPr>
          <w:rFonts w:hint="eastAsia" w:ascii="宋体" w:hAnsi="Times New Roman" w:eastAsia="宋体" w:cs="Times New Roman"/>
          <w:szCs w:val="22"/>
          <w:lang w:val="en-US" w:eastAsia="zh-CN"/>
        </w:rPr>
        <w:t>其他显性</w:t>
      </w:r>
      <w:r>
        <w:rPr>
          <w:rFonts w:hint="eastAsia" w:cs="Times New Roman"/>
          <w:szCs w:val="22"/>
          <w:lang w:val="en-US" w:eastAsia="zh-CN"/>
        </w:rPr>
        <w:t>或</w:t>
      </w:r>
      <w:r>
        <w:rPr>
          <w:rFonts w:hint="eastAsia" w:ascii="宋体" w:hAnsi="Times New Roman" w:eastAsia="宋体" w:cs="Times New Roman"/>
          <w:szCs w:val="22"/>
          <w:lang w:val="en-US" w:eastAsia="zh-CN"/>
        </w:rPr>
        <w:t>隐性安全收益。</w:t>
      </w:r>
    </w:p>
    <w:p>
      <w:pPr>
        <w:pStyle w:val="21"/>
        <w:rPr>
          <w:rFonts w:hint="eastAsia" w:ascii="宋体" w:hAnsi="Times New Roman" w:eastAsia="宋体" w:cs="Times New Roman"/>
          <w:szCs w:val="22"/>
          <w:lang w:val="en-US" w:eastAsia="zh-CN"/>
        </w:rPr>
      </w:pPr>
      <w:r>
        <w:rPr>
          <w:rFonts w:hint="eastAsia"/>
          <w:lang w:val="en-US" w:eastAsia="zh-CN"/>
        </w:rPr>
        <w:t>风险投入的结果应</w:t>
      </w:r>
      <w:r>
        <w:rPr>
          <w:rFonts w:hint="eastAsia" w:ascii="宋体" w:hAnsi="Times New Roman" w:eastAsia="宋体" w:cs="Times New Roman"/>
          <w:szCs w:val="22"/>
          <w:lang w:val="en-US" w:eastAsia="zh-CN"/>
        </w:rPr>
        <w:t>作为成文信息予以保持和保留。</w:t>
      </w:r>
    </w:p>
    <w:p>
      <w:pPr>
        <w:pStyle w:val="94"/>
        <w:rPr>
          <w:rFonts w:hint="default"/>
          <w:szCs w:val="22"/>
          <w:lang w:val="en-US" w:eastAsia="zh-CN"/>
        </w:rPr>
      </w:pPr>
      <w:bookmarkStart w:id="125" w:name="_Toc24034"/>
      <w:bookmarkStart w:id="126" w:name="_Toc14088"/>
      <w:bookmarkStart w:id="127" w:name="_Toc32748"/>
      <w:r>
        <w:rPr>
          <w:rFonts w:hint="eastAsia"/>
          <w:szCs w:val="22"/>
          <w:lang w:val="en-US" w:eastAsia="zh-CN"/>
        </w:rPr>
        <w:t>隐患管理</w:t>
      </w:r>
      <w:bookmarkEnd w:id="125"/>
      <w:bookmarkEnd w:id="126"/>
      <w:bookmarkEnd w:id="127"/>
    </w:p>
    <w:p>
      <w:pPr>
        <w:pStyle w:val="51"/>
        <w:bidi w:val="0"/>
        <w:ind w:left="0" w:leftChars="0" w:firstLine="0" w:firstLineChars="0"/>
        <w:rPr>
          <w:rFonts w:hint="eastAsia"/>
          <w:lang w:val="en-US" w:eastAsia="zh-CN"/>
        </w:rPr>
      </w:pPr>
      <w:bookmarkStart w:id="128" w:name="_Toc4772"/>
      <w:bookmarkStart w:id="129" w:name="_Toc5808"/>
      <w:bookmarkStart w:id="130" w:name="_Toc24100"/>
      <w:r>
        <w:rPr>
          <w:rFonts w:hint="eastAsia"/>
          <w:lang w:val="en-US" w:eastAsia="zh-CN"/>
        </w:rPr>
        <w:t>分级分类</w:t>
      </w:r>
      <w:bookmarkEnd w:id="128"/>
      <w:bookmarkEnd w:id="129"/>
      <w:bookmarkEnd w:id="130"/>
    </w:p>
    <w:p>
      <w:pPr>
        <w:keepNext w:val="0"/>
        <w:keepLines w:val="0"/>
        <w:widowControl/>
        <w:suppressLineNumbers w:val="0"/>
        <w:ind w:firstLine="420" w:firstLineChars="200"/>
        <w:jc w:val="left"/>
        <w:rPr>
          <w:rFonts w:hint="eastAsia" w:ascii="宋体" w:hAnsi="宋体" w:eastAsia="宋体" w:cs="宋体"/>
          <w:color w:val="000000"/>
          <w:kern w:val="0"/>
          <w:sz w:val="21"/>
          <w:szCs w:val="21"/>
          <w:lang w:val="en-US" w:eastAsia="zh-CN" w:bidi="ar"/>
        </w:rPr>
      </w:pPr>
      <w:r>
        <w:rPr>
          <w:rFonts w:hint="eastAsia" w:ascii="宋体" w:hAnsi="宋体" w:cs="宋体"/>
          <w:color w:val="000000"/>
          <w:kern w:val="0"/>
          <w:sz w:val="21"/>
          <w:szCs w:val="21"/>
          <w:lang w:val="en-US" w:eastAsia="zh-CN" w:bidi="ar"/>
        </w:rPr>
        <w:t>企业应建立事故</w:t>
      </w:r>
      <w:r>
        <w:rPr>
          <w:rFonts w:hint="eastAsia" w:ascii="宋体" w:hAnsi="宋体" w:cs="宋体"/>
          <w:color w:val="000000"/>
          <w:kern w:val="0"/>
          <w:sz w:val="21"/>
          <w:szCs w:val="21"/>
          <w:lang w:bidi="ar"/>
        </w:rPr>
        <w:t>隐患排查治理制度，落实从主要负责人到每位从业人员的隐患排查治理和防控责任制</w:t>
      </w:r>
      <w:r>
        <w:rPr>
          <w:rFonts w:hint="eastAsia" w:ascii="宋体" w:hAnsi="宋体" w:cs="宋体"/>
          <w:color w:val="000000"/>
          <w:kern w:val="0"/>
          <w:sz w:val="21"/>
          <w:szCs w:val="21"/>
          <w:lang w:eastAsia="zh-CN" w:bidi="ar"/>
        </w:rPr>
        <w:t>，</w:t>
      </w:r>
      <w:r>
        <w:rPr>
          <w:rFonts w:hint="eastAsia" w:ascii="宋体" w:hAnsi="宋体" w:cs="宋体"/>
          <w:color w:val="000000"/>
          <w:kern w:val="0"/>
          <w:sz w:val="21"/>
          <w:szCs w:val="21"/>
          <w:lang w:val="en-US" w:eastAsia="zh-CN" w:bidi="ar"/>
        </w:rPr>
        <w:t>并按有关规定组织开展</w:t>
      </w:r>
      <w:r>
        <w:rPr>
          <w:rFonts w:hint="eastAsia" w:ascii="宋体" w:hAnsi="宋体" w:eastAsia="宋体" w:cs="宋体"/>
          <w:color w:val="000000"/>
          <w:kern w:val="0"/>
          <w:sz w:val="21"/>
          <w:szCs w:val="21"/>
          <w:lang w:val="en-US" w:eastAsia="zh-CN" w:bidi="ar"/>
        </w:rPr>
        <w:t>隐患排查治理</w:t>
      </w:r>
      <w:r>
        <w:rPr>
          <w:rFonts w:hint="eastAsia" w:ascii="宋体" w:hAnsi="宋体" w:cs="宋体"/>
          <w:color w:val="000000"/>
          <w:kern w:val="0"/>
          <w:sz w:val="21"/>
          <w:szCs w:val="21"/>
          <w:lang w:val="en-US" w:eastAsia="zh-CN" w:bidi="ar"/>
        </w:rPr>
        <w:t>工作</w:t>
      </w:r>
      <w:r>
        <w:rPr>
          <w:rFonts w:hint="eastAsia" w:ascii="宋体" w:hAnsi="宋体" w:eastAsia="宋体" w:cs="宋体"/>
          <w:color w:val="000000"/>
          <w:kern w:val="0"/>
          <w:sz w:val="21"/>
          <w:szCs w:val="21"/>
          <w:lang w:val="en-US" w:eastAsia="zh-CN" w:bidi="ar"/>
        </w:rPr>
        <w:t>，保障从业人员的职业安全与健康，降低企业安全生产风险，实现安全生产和安全发展。</w:t>
      </w:r>
    </w:p>
    <w:p>
      <w:pPr>
        <w:keepNext w:val="0"/>
        <w:keepLines w:val="0"/>
        <w:widowControl/>
        <w:suppressLineNumbers w:val="0"/>
        <w:ind w:firstLine="420" w:firstLineChars="200"/>
        <w:jc w:val="left"/>
      </w:pPr>
      <w:r>
        <w:rPr>
          <w:rFonts w:hint="eastAsia" w:ascii="宋体" w:hAnsi="宋体" w:eastAsia="宋体" w:cs="宋体"/>
          <w:color w:val="000000"/>
          <w:kern w:val="0"/>
          <w:sz w:val="21"/>
          <w:szCs w:val="21"/>
          <w:lang w:val="en-US" w:eastAsia="zh-CN" w:bidi="ar"/>
        </w:rPr>
        <w:t>根据隐患整改、治理和排</w:t>
      </w:r>
      <w:r>
        <w:rPr>
          <w:rFonts w:hint="eastAsia" w:ascii="宋体" w:hAnsi="宋体" w:cs="宋体"/>
          <w:color w:val="000000"/>
          <w:kern w:val="0"/>
          <w:sz w:val="21"/>
          <w:szCs w:val="21"/>
          <w:lang w:val="en-US" w:eastAsia="zh-CN" w:bidi="ar"/>
        </w:rPr>
        <w:t>查</w:t>
      </w:r>
      <w:r>
        <w:rPr>
          <w:rFonts w:hint="eastAsia" w:ascii="宋体" w:hAnsi="宋体" w:eastAsia="宋体" w:cs="宋体"/>
          <w:color w:val="000000"/>
          <w:kern w:val="0"/>
          <w:sz w:val="21"/>
          <w:szCs w:val="21"/>
          <w:lang w:val="en-US" w:eastAsia="zh-CN" w:bidi="ar"/>
        </w:rPr>
        <w:t>的难度及其可能导致事故后果和影响范围，</w:t>
      </w:r>
      <w:r>
        <w:t>事故隐患</w:t>
      </w:r>
      <w:r>
        <w:rPr>
          <w:rFonts w:hint="eastAsia" w:ascii="宋体" w:hAnsi="宋体" w:eastAsia="宋体" w:cs="宋体"/>
          <w:color w:val="000000"/>
          <w:kern w:val="0"/>
          <w:sz w:val="21"/>
          <w:szCs w:val="21"/>
          <w:lang w:val="en-US" w:eastAsia="zh-CN" w:bidi="ar"/>
        </w:rPr>
        <w:t>分为一般事故隐患和重大事故隐患。</w:t>
      </w:r>
    </w:p>
    <w:p>
      <w:pPr>
        <w:keepNext w:val="0"/>
        <w:keepLines w:val="0"/>
        <w:widowControl/>
        <w:suppressLineNumbers w:val="0"/>
        <w:ind w:firstLine="420" w:firstLineChars="200"/>
        <w:jc w:val="left"/>
      </w:pPr>
      <w:r>
        <w:rPr>
          <w:rFonts w:ascii="华文中宋" w:hAnsi="华文中宋"/>
          <w:szCs w:val="21"/>
        </w:rPr>
        <w:t>根据隐患</w:t>
      </w:r>
      <w:r>
        <w:rPr>
          <w:rFonts w:hint="eastAsia" w:ascii="华文中宋" w:hAnsi="华文中宋"/>
          <w:szCs w:val="21"/>
        </w:rPr>
        <w:t>排查内容</w:t>
      </w:r>
      <w:r>
        <w:rPr>
          <w:rFonts w:ascii="华文中宋" w:hAnsi="华文中宋"/>
          <w:szCs w:val="21"/>
        </w:rPr>
        <w:t>进行</w:t>
      </w:r>
      <w:r>
        <w:rPr>
          <w:rFonts w:hint="eastAsia" w:ascii="华文中宋" w:hAnsi="华文中宋"/>
          <w:szCs w:val="21"/>
          <w:lang w:val="en-US" w:eastAsia="zh-CN"/>
        </w:rPr>
        <w:t>分类</w:t>
      </w:r>
      <w:r>
        <w:rPr>
          <w:rFonts w:ascii="华文中宋" w:hAnsi="华文中宋"/>
          <w:szCs w:val="21"/>
        </w:rPr>
        <w:t>，</w:t>
      </w:r>
      <w:r>
        <w:rPr>
          <w:rFonts w:hint="eastAsia" w:ascii="宋体" w:hAnsi="宋体" w:eastAsia="宋体" w:cs="宋体"/>
          <w:color w:val="000000"/>
          <w:kern w:val="0"/>
          <w:sz w:val="21"/>
          <w:szCs w:val="21"/>
          <w:lang w:val="en-US" w:eastAsia="zh-CN" w:bidi="ar"/>
        </w:rPr>
        <w:t>分为基础管理类隐患和现场</w:t>
      </w:r>
      <w:r>
        <w:rPr>
          <w:rFonts w:hint="eastAsia" w:ascii="宋体" w:hAnsi="宋体" w:cs="宋体"/>
          <w:color w:val="000000"/>
          <w:kern w:val="0"/>
          <w:sz w:val="21"/>
          <w:szCs w:val="21"/>
          <w:lang w:val="en-US" w:eastAsia="zh-CN" w:bidi="ar"/>
        </w:rPr>
        <w:t>管理</w:t>
      </w:r>
      <w:r>
        <w:rPr>
          <w:rFonts w:hint="eastAsia" w:ascii="宋体" w:hAnsi="宋体" w:eastAsia="宋体" w:cs="宋体"/>
          <w:color w:val="000000"/>
          <w:kern w:val="0"/>
          <w:sz w:val="21"/>
          <w:szCs w:val="21"/>
          <w:lang w:val="en-US" w:eastAsia="zh-CN" w:bidi="ar"/>
        </w:rPr>
        <w:t xml:space="preserve">类隐患。 </w:t>
      </w:r>
    </w:p>
    <w:p>
      <w:pPr>
        <w:pStyle w:val="21"/>
        <w:numPr>
          <w:ilvl w:val="0"/>
          <w:numId w:val="35"/>
        </w:numPr>
        <w:ind w:left="420" w:leftChars="0" w:firstLine="0" w:firstLineChars="0"/>
        <w:rPr>
          <w:rFonts w:hint="eastAsia" w:ascii="宋体" w:hAnsi="Times New Roman" w:eastAsia="宋体" w:cs="Times New Roman"/>
          <w:szCs w:val="22"/>
          <w:lang w:val="en-US" w:eastAsia="zh-CN"/>
        </w:rPr>
      </w:pPr>
      <w:r>
        <w:rPr>
          <w:rFonts w:hint="eastAsia" w:cs="Times New Roman"/>
          <w:szCs w:val="22"/>
          <w:lang w:val="en-US" w:eastAsia="zh-CN"/>
        </w:rPr>
        <w:t>基础管理类隐患包括</w:t>
      </w:r>
      <w:r>
        <w:rPr>
          <w:rFonts w:hint="eastAsia" w:ascii="宋体" w:hAnsi="Times New Roman" w:eastAsia="宋体" w:cs="Times New Roman"/>
          <w:szCs w:val="22"/>
          <w:lang w:val="en-US" w:eastAsia="zh-CN"/>
        </w:rPr>
        <w:t>：</w:t>
      </w:r>
    </w:p>
    <w:p>
      <w:pPr>
        <w:pStyle w:val="21"/>
        <w:numPr>
          <w:ilvl w:val="0"/>
          <w:numId w:val="0"/>
        </w:numPr>
        <w:ind w:left="420" w:leftChars="0" w:firstLine="420" w:firstLineChars="200"/>
        <w:rPr>
          <w:rFonts w:hint="eastAsia" w:eastAsia="宋体" w:cs="Times New Roman"/>
          <w:szCs w:val="22"/>
          <w:lang w:val="en-US" w:eastAsia="zh-CN"/>
        </w:rPr>
      </w:pPr>
      <w:r>
        <w:rPr>
          <w:rFonts w:hint="eastAsia" w:cs="Times New Roman"/>
          <w:szCs w:val="22"/>
          <w:lang w:val="en-US" w:eastAsia="zh-CN"/>
        </w:rPr>
        <w:t>1）</w:t>
      </w:r>
      <w:r>
        <w:rPr>
          <w:rFonts w:hint="eastAsia" w:ascii="宋体" w:hAnsi="Times New Roman"/>
          <w:kern w:val="0"/>
          <w:szCs w:val="22"/>
        </w:rPr>
        <w:t>资质证照</w:t>
      </w:r>
      <w:r>
        <w:rPr>
          <w:rFonts w:hint="eastAsia" w:ascii="宋体" w:hAnsi="Times New Roman"/>
          <w:kern w:val="0"/>
          <w:szCs w:val="22"/>
          <w:lang w:val="en-US" w:eastAsia="zh-CN"/>
        </w:rPr>
        <w:t>；</w:t>
      </w:r>
    </w:p>
    <w:p>
      <w:pPr>
        <w:pStyle w:val="21"/>
        <w:numPr>
          <w:ilvl w:val="0"/>
          <w:numId w:val="0"/>
        </w:numPr>
        <w:ind w:left="420" w:leftChars="0" w:firstLine="420" w:firstLineChars="200"/>
        <w:rPr>
          <w:rFonts w:hint="eastAsia" w:eastAsia="宋体" w:cs="Times New Roman"/>
          <w:szCs w:val="22"/>
          <w:lang w:val="en-US" w:eastAsia="zh-CN"/>
        </w:rPr>
      </w:pPr>
      <w:r>
        <w:rPr>
          <w:rFonts w:hint="eastAsia" w:cs="Times New Roman"/>
          <w:szCs w:val="22"/>
          <w:lang w:val="en-US" w:eastAsia="zh-CN"/>
        </w:rPr>
        <w:t>2）</w:t>
      </w:r>
      <w:r>
        <w:rPr>
          <w:rFonts w:hint="eastAsia" w:ascii="宋体" w:hAnsi="Times New Roman"/>
          <w:kern w:val="0"/>
          <w:szCs w:val="22"/>
        </w:rPr>
        <w:t>安全生产管理机构及人员</w:t>
      </w:r>
      <w:r>
        <w:rPr>
          <w:rFonts w:hint="eastAsia" w:ascii="宋体" w:hAnsi="Times New Roman"/>
          <w:kern w:val="0"/>
          <w:szCs w:val="22"/>
          <w:lang w:val="en-US" w:eastAsia="zh-CN"/>
        </w:rPr>
        <w:t>；</w:t>
      </w:r>
    </w:p>
    <w:p>
      <w:pPr>
        <w:pStyle w:val="21"/>
        <w:numPr>
          <w:ilvl w:val="0"/>
          <w:numId w:val="0"/>
        </w:numPr>
        <w:ind w:left="420" w:leftChars="0" w:firstLine="420" w:firstLineChars="200"/>
        <w:rPr>
          <w:rFonts w:hint="eastAsia" w:eastAsia="宋体" w:cs="Times New Roman"/>
          <w:szCs w:val="22"/>
          <w:lang w:val="en-US" w:eastAsia="zh-CN"/>
        </w:rPr>
      </w:pPr>
      <w:r>
        <w:rPr>
          <w:rFonts w:hint="eastAsia" w:cs="Times New Roman"/>
          <w:szCs w:val="22"/>
          <w:lang w:val="en-US" w:eastAsia="zh-CN"/>
        </w:rPr>
        <w:t>3）</w:t>
      </w:r>
      <w:r>
        <w:rPr>
          <w:rFonts w:hint="eastAsia" w:ascii="宋体" w:hAnsi="Times New Roman"/>
          <w:kern w:val="0"/>
          <w:szCs w:val="22"/>
        </w:rPr>
        <w:t>安全生产责任制</w:t>
      </w:r>
      <w:r>
        <w:rPr>
          <w:rFonts w:hint="eastAsia" w:ascii="宋体" w:hAnsi="Times New Roman"/>
          <w:kern w:val="0"/>
          <w:szCs w:val="22"/>
          <w:lang w:val="en-US" w:eastAsia="zh-CN"/>
        </w:rPr>
        <w:t>；</w:t>
      </w:r>
    </w:p>
    <w:p>
      <w:pPr>
        <w:pStyle w:val="21"/>
        <w:numPr>
          <w:ilvl w:val="0"/>
          <w:numId w:val="0"/>
        </w:numPr>
        <w:ind w:left="420" w:leftChars="0" w:firstLine="420" w:firstLineChars="200"/>
        <w:rPr>
          <w:rFonts w:hint="eastAsia" w:ascii="宋体" w:hAnsi="Times New Roman" w:eastAsia="宋体"/>
          <w:kern w:val="0"/>
          <w:szCs w:val="22"/>
          <w:lang w:val="en-US" w:eastAsia="zh-CN"/>
        </w:rPr>
      </w:pPr>
      <w:r>
        <w:rPr>
          <w:rFonts w:hint="eastAsia" w:cs="Times New Roman"/>
          <w:szCs w:val="22"/>
          <w:lang w:val="en-US" w:eastAsia="zh-CN"/>
        </w:rPr>
        <w:t>4）</w:t>
      </w:r>
      <w:r>
        <w:rPr>
          <w:rFonts w:hint="eastAsia" w:ascii="宋体" w:hAnsi="Times New Roman"/>
          <w:kern w:val="0"/>
          <w:szCs w:val="22"/>
        </w:rPr>
        <w:t>安全生产管理制度</w:t>
      </w:r>
      <w:r>
        <w:rPr>
          <w:rFonts w:hint="eastAsia" w:ascii="宋体" w:hAnsi="Times New Roman"/>
          <w:kern w:val="0"/>
          <w:szCs w:val="22"/>
          <w:lang w:val="en-US" w:eastAsia="zh-CN"/>
        </w:rPr>
        <w:t>；</w:t>
      </w:r>
    </w:p>
    <w:p>
      <w:pPr>
        <w:pStyle w:val="21"/>
        <w:numPr>
          <w:ilvl w:val="0"/>
          <w:numId w:val="0"/>
        </w:numPr>
        <w:ind w:left="420" w:leftChars="0" w:firstLine="420" w:firstLineChars="200"/>
        <w:rPr>
          <w:rFonts w:hint="eastAsia" w:ascii="宋体" w:hAnsi="Times New Roman" w:eastAsia="宋体"/>
          <w:kern w:val="0"/>
          <w:szCs w:val="22"/>
          <w:lang w:val="en-US" w:eastAsia="zh-CN"/>
        </w:rPr>
      </w:pPr>
      <w:r>
        <w:rPr>
          <w:rFonts w:hint="eastAsia"/>
          <w:kern w:val="0"/>
          <w:szCs w:val="22"/>
          <w:lang w:eastAsia="zh-CN"/>
        </w:rPr>
        <w:t>5）</w:t>
      </w:r>
      <w:r>
        <w:rPr>
          <w:rFonts w:hint="eastAsia" w:ascii="宋体" w:hAnsi="Times New Roman"/>
          <w:kern w:val="0"/>
          <w:szCs w:val="22"/>
        </w:rPr>
        <w:t>安全操作规程</w:t>
      </w:r>
      <w:r>
        <w:rPr>
          <w:rFonts w:hint="eastAsia" w:ascii="宋体" w:hAnsi="Times New Roman"/>
          <w:kern w:val="0"/>
          <w:szCs w:val="22"/>
          <w:lang w:val="en-US" w:eastAsia="zh-CN"/>
        </w:rPr>
        <w:t>；</w:t>
      </w:r>
    </w:p>
    <w:p>
      <w:pPr>
        <w:pStyle w:val="21"/>
        <w:numPr>
          <w:ilvl w:val="0"/>
          <w:numId w:val="0"/>
        </w:numPr>
        <w:ind w:left="420" w:leftChars="0" w:firstLine="420" w:firstLineChars="200"/>
        <w:rPr>
          <w:rFonts w:hint="eastAsia" w:ascii="宋体" w:hAnsi="Times New Roman" w:eastAsia="宋体"/>
          <w:kern w:val="0"/>
          <w:szCs w:val="22"/>
          <w:lang w:val="en-US" w:eastAsia="zh-CN"/>
        </w:rPr>
      </w:pPr>
      <w:r>
        <w:rPr>
          <w:rFonts w:hint="eastAsia"/>
          <w:kern w:val="0"/>
          <w:szCs w:val="22"/>
          <w:lang w:eastAsia="zh-CN"/>
        </w:rPr>
        <w:t>6）</w:t>
      </w:r>
      <w:r>
        <w:rPr>
          <w:rFonts w:hint="eastAsia" w:ascii="宋体" w:hAnsi="Times New Roman"/>
          <w:kern w:val="0"/>
          <w:szCs w:val="22"/>
        </w:rPr>
        <w:t>教育培训</w:t>
      </w:r>
      <w:r>
        <w:rPr>
          <w:rFonts w:hint="eastAsia" w:ascii="宋体" w:hAnsi="Times New Roman"/>
          <w:kern w:val="0"/>
          <w:szCs w:val="22"/>
          <w:lang w:val="en-US" w:eastAsia="zh-CN"/>
        </w:rPr>
        <w:t>；</w:t>
      </w:r>
    </w:p>
    <w:p>
      <w:pPr>
        <w:pStyle w:val="21"/>
        <w:numPr>
          <w:ilvl w:val="0"/>
          <w:numId w:val="0"/>
        </w:numPr>
        <w:ind w:left="420" w:leftChars="0" w:firstLine="420" w:firstLineChars="200"/>
        <w:rPr>
          <w:rFonts w:hint="eastAsia" w:ascii="宋体" w:hAnsi="Times New Roman" w:eastAsia="宋体"/>
          <w:kern w:val="0"/>
          <w:szCs w:val="22"/>
          <w:lang w:val="en-US" w:eastAsia="zh-CN"/>
        </w:rPr>
      </w:pPr>
      <w:r>
        <w:rPr>
          <w:rFonts w:hint="eastAsia"/>
          <w:kern w:val="0"/>
          <w:szCs w:val="22"/>
          <w:lang w:eastAsia="zh-CN"/>
        </w:rPr>
        <w:t>7）</w:t>
      </w:r>
      <w:r>
        <w:rPr>
          <w:rFonts w:hint="eastAsia" w:ascii="宋体" w:hAnsi="Times New Roman"/>
          <w:kern w:val="0"/>
          <w:szCs w:val="22"/>
        </w:rPr>
        <w:t>安全生产管理档案</w:t>
      </w:r>
      <w:r>
        <w:rPr>
          <w:rFonts w:hint="eastAsia" w:ascii="宋体" w:hAnsi="Times New Roman"/>
          <w:kern w:val="0"/>
          <w:szCs w:val="22"/>
          <w:lang w:val="en-US" w:eastAsia="zh-CN"/>
        </w:rPr>
        <w:t>；</w:t>
      </w:r>
    </w:p>
    <w:p>
      <w:pPr>
        <w:pStyle w:val="21"/>
        <w:numPr>
          <w:ilvl w:val="0"/>
          <w:numId w:val="0"/>
        </w:numPr>
        <w:ind w:left="420" w:leftChars="0" w:firstLine="420" w:firstLineChars="200"/>
        <w:rPr>
          <w:rFonts w:hint="eastAsia" w:ascii="宋体" w:hAnsi="Times New Roman" w:eastAsia="宋体"/>
          <w:kern w:val="0"/>
          <w:szCs w:val="22"/>
          <w:lang w:val="en-US" w:eastAsia="zh-CN"/>
        </w:rPr>
      </w:pPr>
      <w:r>
        <w:rPr>
          <w:rFonts w:hint="eastAsia"/>
          <w:kern w:val="0"/>
          <w:szCs w:val="22"/>
          <w:lang w:eastAsia="zh-CN"/>
        </w:rPr>
        <w:t>8）</w:t>
      </w:r>
      <w:r>
        <w:rPr>
          <w:rFonts w:hint="eastAsia" w:ascii="宋体" w:hAnsi="Times New Roman"/>
          <w:kern w:val="0"/>
          <w:szCs w:val="22"/>
        </w:rPr>
        <w:t>安全生产投入</w:t>
      </w:r>
      <w:r>
        <w:rPr>
          <w:rFonts w:hint="eastAsia" w:ascii="宋体" w:hAnsi="Times New Roman"/>
          <w:kern w:val="0"/>
          <w:szCs w:val="22"/>
          <w:lang w:val="en-US" w:eastAsia="zh-CN"/>
        </w:rPr>
        <w:t>；</w:t>
      </w:r>
    </w:p>
    <w:p>
      <w:pPr>
        <w:pStyle w:val="21"/>
        <w:numPr>
          <w:ilvl w:val="0"/>
          <w:numId w:val="0"/>
        </w:numPr>
        <w:ind w:left="420" w:leftChars="0" w:firstLine="420" w:firstLineChars="200"/>
        <w:rPr>
          <w:rFonts w:hint="eastAsia" w:ascii="宋体" w:hAnsi="Times New Roman" w:eastAsia="宋体"/>
          <w:kern w:val="0"/>
          <w:szCs w:val="22"/>
          <w:lang w:val="en-US" w:eastAsia="zh-CN"/>
        </w:rPr>
      </w:pPr>
      <w:r>
        <w:rPr>
          <w:rFonts w:hint="eastAsia"/>
          <w:kern w:val="0"/>
          <w:szCs w:val="22"/>
          <w:lang w:val="en-US" w:eastAsia="zh-CN"/>
        </w:rPr>
        <w:t>9）</w:t>
      </w:r>
      <w:r>
        <w:rPr>
          <w:rFonts w:hint="eastAsia" w:ascii="宋体" w:hAnsi="Times New Roman"/>
          <w:kern w:val="0"/>
          <w:szCs w:val="22"/>
        </w:rPr>
        <w:t>应急管理</w:t>
      </w:r>
      <w:r>
        <w:rPr>
          <w:rFonts w:hint="eastAsia" w:ascii="宋体" w:hAnsi="Times New Roman"/>
          <w:kern w:val="0"/>
          <w:szCs w:val="22"/>
          <w:lang w:val="en-US" w:eastAsia="zh-CN"/>
        </w:rPr>
        <w:t>；</w:t>
      </w:r>
    </w:p>
    <w:p>
      <w:pPr>
        <w:pStyle w:val="21"/>
        <w:numPr>
          <w:ilvl w:val="0"/>
          <w:numId w:val="0"/>
        </w:numPr>
        <w:ind w:left="420" w:leftChars="0" w:firstLine="420" w:firstLineChars="200"/>
        <w:rPr>
          <w:rFonts w:hint="eastAsia" w:ascii="宋体" w:hAnsi="Times New Roman" w:eastAsia="宋体"/>
          <w:kern w:val="0"/>
          <w:szCs w:val="22"/>
          <w:lang w:val="en-US" w:eastAsia="zh-CN"/>
        </w:rPr>
      </w:pPr>
      <w:r>
        <w:rPr>
          <w:rFonts w:hint="eastAsia"/>
          <w:kern w:val="0"/>
          <w:szCs w:val="22"/>
          <w:lang w:eastAsia="zh-CN"/>
        </w:rPr>
        <w:t>1</w:t>
      </w:r>
      <w:r>
        <w:rPr>
          <w:rFonts w:hint="eastAsia"/>
          <w:kern w:val="0"/>
          <w:szCs w:val="22"/>
          <w:lang w:val="en-US" w:eastAsia="zh-CN"/>
        </w:rPr>
        <w:t>0）</w:t>
      </w:r>
      <w:r>
        <w:rPr>
          <w:rFonts w:hint="eastAsia" w:ascii="宋体" w:hAnsi="Times New Roman"/>
          <w:kern w:val="0"/>
          <w:szCs w:val="22"/>
        </w:rPr>
        <w:t>特种设备基础管理</w:t>
      </w:r>
      <w:r>
        <w:rPr>
          <w:rFonts w:hint="eastAsia" w:ascii="宋体" w:hAnsi="Times New Roman"/>
          <w:kern w:val="0"/>
          <w:szCs w:val="22"/>
          <w:lang w:val="en-US" w:eastAsia="zh-CN"/>
        </w:rPr>
        <w:t>；</w:t>
      </w:r>
    </w:p>
    <w:p>
      <w:pPr>
        <w:pStyle w:val="21"/>
        <w:numPr>
          <w:ilvl w:val="0"/>
          <w:numId w:val="0"/>
        </w:numPr>
        <w:ind w:left="420" w:leftChars="0" w:firstLine="420" w:firstLineChars="200"/>
        <w:rPr>
          <w:rFonts w:hint="eastAsia" w:ascii="宋体" w:hAnsi="Times New Roman" w:eastAsia="宋体"/>
          <w:kern w:val="0"/>
          <w:szCs w:val="22"/>
          <w:lang w:val="en-US" w:eastAsia="zh-CN"/>
        </w:rPr>
      </w:pPr>
      <w:r>
        <w:rPr>
          <w:rFonts w:hint="eastAsia"/>
          <w:kern w:val="0"/>
          <w:szCs w:val="22"/>
          <w:lang w:eastAsia="zh-CN"/>
        </w:rPr>
        <w:t>1</w:t>
      </w:r>
      <w:r>
        <w:rPr>
          <w:rFonts w:hint="eastAsia"/>
          <w:kern w:val="0"/>
          <w:szCs w:val="22"/>
          <w:lang w:val="en-US" w:eastAsia="zh-CN"/>
        </w:rPr>
        <w:t>1）</w:t>
      </w:r>
      <w:r>
        <w:rPr>
          <w:rFonts w:hint="eastAsia" w:ascii="宋体" w:hAnsi="Times New Roman"/>
          <w:kern w:val="0"/>
          <w:szCs w:val="22"/>
        </w:rPr>
        <w:t>职业卫生基础管理</w:t>
      </w:r>
      <w:r>
        <w:rPr>
          <w:rFonts w:hint="eastAsia" w:ascii="宋体" w:hAnsi="Times New Roman"/>
          <w:kern w:val="0"/>
          <w:szCs w:val="22"/>
          <w:lang w:val="en-US" w:eastAsia="zh-CN"/>
        </w:rPr>
        <w:t>；</w:t>
      </w:r>
    </w:p>
    <w:p>
      <w:pPr>
        <w:pStyle w:val="21"/>
        <w:numPr>
          <w:ilvl w:val="0"/>
          <w:numId w:val="0"/>
        </w:numPr>
        <w:ind w:left="420" w:leftChars="0" w:firstLine="420" w:firstLineChars="200"/>
        <w:rPr>
          <w:rFonts w:hint="eastAsia" w:ascii="宋体" w:hAnsi="Times New Roman" w:eastAsia="宋体"/>
          <w:kern w:val="0"/>
          <w:szCs w:val="22"/>
          <w:lang w:val="en-US" w:eastAsia="zh-CN"/>
        </w:rPr>
      </w:pPr>
      <w:r>
        <w:rPr>
          <w:rFonts w:hint="eastAsia"/>
          <w:kern w:val="0"/>
          <w:szCs w:val="22"/>
          <w:lang w:eastAsia="zh-CN"/>
        </w:rPr>
        <w:t>1</w:t>
      </w:r>
      <w:r>
        <w:rPr>
          <w:rFonts w:hint="eastAsia"/>
          <w:kern w:val="0"/>
          <w:szCs w:val="22"/>
          <w:lang w:val="en-US" w:eastAsia="zh-CN"/>
        </w:rPr>
        <w:t>2）</w:t>
      </w:r>
      <w:r>
        <w:rPr>
          <w:rFonts w:hint="eastAsia" w:ascii="宋体" w:hAnsi="Times New Roman"/>
          <w:kern w:val="0"/>
          <w:szCs w:val="22"/>
        </w:rPr>
        <w:t>相关方基础管理</w:t>
      </w:r>
      <w:r>
        <w:rPr>
          <w:rFonts w:hint="eastAsia" w:ascii="宋体" w:hAnsi="Times New Roman"/>
          <w:kern w:val="0"/>
          <w:szCs w:val="22"/>
          <w:lang w:val="en-US" w:eastAsia="zh-CN"/>
        </w:rPr>
        <w:t>；</w:t>
      </w:r>
    </w:p>
    <w:p>
      <w:pPr>
        <w:pStyle w:val="21"/>
        <w:numPr>
          <w:ilvl w:val="0"/>
          <w:numId w:val="0"/>
        </w:numPr>
        <w:ind w:left="420" w:leftChars="0" w:firstLine="420" w:firstLineChars="200"/>
        <w:rPr>
          <w:rFonts w:hint="eastAsia" w:ascii="宋体" w:hAnsi="Times New Roman" w:eastAsia="宋体" w:cs="Times New Roman"/>
          <w:szCs w:val="22"/>
          <w:lang w:val="en-US" w:eastAsia="zh-CN"/>
        </w:rPr>
      </w:pPr>
      <w:r>
        <w:rPr>
          <w:rFonts w:hint="eastAsia" w:cs="Times New Roman"/>
          <w:szCs w:val="22"/>
          <w:lang w:val="en-US" w:eastAsia="zh-CN"/>
        </w:rPr>
        <w:t>13）</w:t>
      </w:r>
      <w:r>
        <w:rPr>
          <w:rFonts w:hint="eastAsia" w:ascii="宋体" w:hAnsi="Times New Roman"/>
          <w:kern w:val="0"/>
          <w:szCs w:val="22"/>
        </w:rPr>
        <w:t>其他基础管理</w:t>
      </w:r>
      <w:r>
        <w:rPr>
          <w:rFonts w:hint="eastAsia" w:ascii="宋体" w:hAnsi="Times New Roman"/>
          <w:kern w:val="0"/>
          <w:szCs w:val="22"/>
          <w:lang w:eastAsia="zh-CN"/>
        </w:rPr>
        <w:t>。</w:t>
      </w:r>
    </w:p>
    <w:p>
      <w:pPr>
        <w:pStyle w:val="21"/>
        <w:numPr>
          <w:ilvl w:val="0"/>
          <w:numId w:val="35"/>
        </w:numPr>
        <w:ind w:left="420" w:leftChars="0" w:firstLine="0" w:firstLineChars="0"/>
        <w:rPr>
          <w:rFonts w:hint="eastAsia" w:ascii="宋体" w:hAnsi="Times New Roman" w:eastAsia="宋体" w:cs="Times New Roman"/>
          <w:szCs w:val="22"/>
          <w:lang w:val="en-US" w:eastAsia="zh-CN"/>
        </w:rPr>
      </w:pPr>
      <w:r>
        <w:rPr>
          <w:rFonts w:hint="eastAsia" w:cs="Times New Roman"/>
          <w:szCs w:val="22"/>
          <w:lang w:val="en-US" w:eastAsia="zh-CN"/>
        </w:rPr>
        <w:t>现场管理</w:t>
      </w:r>
      <w:r>
        <w:rPr>
          <w:rFonts w:hint="eastAsia" w:ascii="宋体" w:hAnsi="Times New Roman" w:eastAsia="宋体" w:cs="Times New Roman"/>
          <w:szCs w:val="22"/>
          <w:lang w:val="en-US" w:eastAsia="zh-CN"/>
        </w:rPr>
        <w:t xml:space="preserve">类隐患包括： </w:t>
      </w:r>
    </w:p>
    <w:p>
      <w:pPr>
        <w:pStyle w:val="21"/>
        <w:numPr>
          <w:ilvl w:val="0"/>
          <w:numId w:val="0"/>
        </w:numPr>
        <w:ind w:left="420" w:leftChars="0" w:firstLine="420" w:firstLineChars="200"/>
        <w:rPr>
          <w:rFonts w:hint="eastAsia" w:ascii="宋体" w:hAnsi="Times New Roman" w:eastAsia="宋体" w:cs="Times New Roman"/>
          <w:szCs w:val="22"/>
          <w:lang w:val="en-US" w:eastAsia="zh-CN"/>
        </w:rPr>
      </w:pPr>
      <w:r>
        <w:rPr>
          <w:rFonts w:hint="eastAsia" w:cs="Times New Roman"/>
          <w:szCs w:val="22"/>
          <w:lang w:val="en-US" w:eastAsia="zh-CN"/>
        </w:rPr>
        <w:t>1）</w:t>
      </w:r>
      <w:r>
        <w:rPr>
          <w:rFonts w:ascii="华文中宋" w:hAnsi="华文中宋"/>
          <w:szCs w:val="21"/>
        </w:rPr>
        <w:t>特种设备现场管理</w:t>
      </w:r>
      <w:r>
        <w:rPr>
          <w:rFonts w:hint="eastAsia" w:ascii="华文中宋" w:hAnsi="华文中宋"/>
          <w:szCs w:val="21"/>
          <w:lang w:val="en-US" w:eastAsia="zh-CN"/>
        </w:rPr>
        <w:t>；</w:t>
      </w:r>
    </w:p>
    <w:p>
      <w:pPr>
        <w:pStyle w:val="21"/>
        <w:numPr>
          <w:ilvl w:val="0"/>
          <w:numId w:val="0"/>
        </w:numPr>
        <w:ind w:left="420" w:leftChars="0" w:firstLine="420" w:firstLineChars="200"/>
        <w:rPr>
          <w:rFonts w:hint="eastAsia" w:eastAsia="宋体" w:cs="Times New Roman"/>
          <w:szCs w:val="22"/>
          <w:lang w:val="en-US" w:eastAsia="zh-CN"/>
        </w:rPr>
      </w:pPr>
      <w:r>
        <w:rPr>
          <w:rFonts w:hint="eastAsia" w:cs="Times New Roman"/>
          <w:szCs w:val="22"/>
          <w:lang w:val="en-US" w:eastAsia="zh-CN"/>
        </w:rPr>
        <w:t>2）</w:t>
      </w:r>
      <w:r>
        <w:rPr>
          <w:rFonts w:ascii="华文中宋" w:hAnsi="华文中宋"/>
          <w:kern w:val="0"/>
          <w:szCs w:val="21"/>
        </w:rPr>
        <w:t>生产设备设施</w:t>
      </w:r>
      <w:r>
        <w:rPr>
          <w:rFonts w:hint="eastAsia" w:ascii="华文中宋" w:hAnsi="华文中宋"/>
          <w:kern w:val="0"/>
          <w:szCs w:val="21"/>
        </w:rPr>
        <w:t>及工艺</w:t>
      </w:r>
      <w:r>
        <w:rPr>
          <w:rFonts w:hint="eastAsia" w:ascii="华文中宋" w:hAnsi="华文中宋"/>
          <w:kern w:val="0"/>
          <w:szCs w:val="21"/>
          <w:lang w:val="en-US" w:eastAsia="zh-CN"/>
        </w:rPr>
        <w:t>；</w:t>
      </w:r>
    </w:p>
    <w:p>
      <w:pPr>
        <w:pStyle w:val="21"/>
        <w:numPr>
          <w:ilvl w:val="0"/>
          <w:numId w:val="0"/>
        </w:numPr>
        <w:ind w:left="420" w:leftChars="0" w:firstLine="420" w:firstLineChars="200"/>
        <w:rPr>
          <w:rFonts w:hint="eastAsia" w:eastAsia="宋体" w:cs="Times New Roman"/>
          <w:szCs w:val="22"/>
          <w:lang w:val="en-US" w:eastAsia="zh-CN"/>
        </w:rPr>
      </w:pPr>
      <w:r>
        <w:rPr>
          <w:rFonts w:hint="eastAsia" w:cs="Times New Roman"/>
          <w:szCs w:val="22"/>
          <w:lang w:val="en-US" w:eastAsia="zh-CN"/>
        </w:rPr>
        <w:t>3）</w:t>
      </w:r>
      <w:r>
        <w:rPr>
          <w:rFonts w:ascii="华文中宋" w:hAnsi="华文中宋"/>
          <w:kern w:val="0"/>
          <w:szCs w:val="21"/>
        </w:rPr>
        <w:t>场所环境</w:t>
      </w:r>
      <w:r>
        <w:rPr>
          <w:rFonts w:hint="eastAsia" w:ascii="华文中宋" w:hAnsi="华文中宋"/>
          <w:kern w:val="0"/>
          <w:szCs w:val="21"/>
          <w:lang w:val="en-US" w:eastAsia="zh-CN"/>
        </w:rPr>
        <w:t>；</w:t>
      </w:r>
    </w:p>
    <w:p>
      <w:pPr>
        <w:pStyle w:val="21"/>
        <w:numPr>
          <w:ilvl w:val="0"/>
          <w:numId w:val="0"/>
        </w:numPr>
        <w:ind w:left="420" w:leftChars="0" w:firstLine="420" w:firstLineChars="200"/>
        <w:rPr>
          <w:rFonts w:hint="eastAsia" w:eastAsia="宋体" w:cs="Times New Roman"/>
          <w:szCs w:val="22"/>
          <w:lang w:val="en-US" w:eastAsia="zh-CN"/>
        </w:rPr>
      </w:pPr>
      <w:r>
        <w:rPr>
          <w:rFonts w:hint="eastAsia" w:cs="Times New Roman"/>
          <w:szCs w:val="22"/>
          <w:lang w:val="en-US" w:eastAsia="zh-CN"/>
        </w:rPr>
        <w:t>4）</w:t>
      </w:r>
      <w:r>
        <w:rPr>
          <w:rFonts w:ascii="华文中宋" w:hAnsi="华文中宋"/>
          <w:kern w:val="0"/>
          <w:szCs w:val="21"/>
        </w:rPr>
        <w:t>从业人员操作行为</w:t>
      </w:r>
      <w:r>
        <w:rPr>
          <w:rFonts w:hint="eastAsia" w:ascii="华文中宋" w:hAnsi="华文中宋"/>
          <w:kern w:val="0"/>
          <w:szCs w:val="21"/>
          <w:lang w:val="en-US" w:eastAsia="zh-CN"/>
        </w:rPr>
        <w:t>；</w:t>
      </w:r>
    </w:p>
    <w:p>
      <w:pPr>
        <w:pStyle w:val="21"/>
        <w:numPr>
          <w:ilvl w:val="0"/>
          <w:numId w:val="0"/>
        </w:numPr>
        <w:ind w:left="420" w:leftChars="0" w:firstLine="420" w:firstLineChars="200"/>
        <w:rPr>
          <w:rFonts w:hint="eastAsia" w:eastAsia="宋体" w:cs="Times New Roman"/>
          <w:szCs w:val="22"/>
          <w:lang w:val="en-US" w:eastAsia="zh-CN"/>
        </w:rPr>
      </w:pPr>
      <w:r>
        <w:rPr>
          <w:rFonts w:hint="eastAsia" w:cs="Times New Roman"/>
          <w:szCs w:val="22"/>
          <w:lang w:val="en-US" w:eastAsia="zh-CN"/>
        </w:rPr>
        <w:t>5）</w:t>
      </w:r>
      <w:r>
        <w:rPr>
          <w:rFonts w:ascii="华文中宋" w:hAnsi="华文中宋"/>
          <w:kern w:val="0"/>
          <w:szCs w:val="21"/>
        </w:rPr>
        <w:t>消防安全</w:t>
      </w:r>
      <w:r>
        <w:rPr>
          <w:rFonts w:hint="eastAsia" w:ascii="华文中宋" w:hAnsi="华文中宋"/>
          <w:kern w:val="0"/>
          <w:szCs w:val="21"/>
          <w:lang w:val="en-US" w:eastAsia="zh-CN"/>
        </w:rPr>
        <w:t>；</w:t>
      </w:r>
    </w:p>
    <w:p>
      <w:pPr>
        <w:pStyle w:val="21"/>
        <w:numPr>
          <w:ilvl w:val="0"/>
          <w:numId w:val="0"/>
        </w:numPr>
        <w:ind w:left="420" w:leftChars="0" w:firstLine="420" w:firstLineChars="200"/>
        <w:rPr>
          <w:rFonts w:hint="eastAsia" w:eastAsia="宋体" w:cs="Times New Roman"/>
          <w:szCs w:val="22"/>
          <w:lang w:val="en-US" w:eastAsia="zh-CN"/>
        </w:rPr>
      </w:pPr>
      <w:r>
        <w:rPr>
          <w:rFonts w:hint="eastAsia" w:cs="Times New Roman"/>
          <w:szCs w:val="22"/>
          <w:lang w:val="en-US" w:eastAsia="zh-CN"/>
        </w:rPr>
        <w:t>6）</w:t>
      </w:r>
      <w:r>
        <w:rPr>
          <w:rFonts w:hint="eastAsia" w:ascii="宋体" w:hAnsi="Times New Roman"/>
          <w:kern w:val="0"/>
          <w:szCs w:val="22"/>
        </w:rPr>
        <w:t>用电安全</w:t>
      </w:r>
      <w:r>
        <w:rPr>
          <w:rFonts w:hint="eastAsia" w:ascii="宋体" w:hAnsi="Times New Roman"/>
          <w:kern w:val="0"/>
          <w:szCs w:val="22"/>
          <w:lang w:val="en-US" w:eastAsia="zh-CN"/>
        </w:rPr>
        <w:t>；</w:t>
      </w:r>
    </w:p>
    <w:p>
      <w:pPr>
        <w:pStyle w:val="21"/>
        <w:numPr>
          <w:ilvl w:val="0"/>
          <w:numId w:val="0"/>
        </w:numPr>
        <w:ind w:left="420" w:leftChars="0" w:firstLine="420" w:firstLineChars="200"/>
        <w:rPr>
          <w:rFonts w:hint="eastAsia" w:ascii="宋体" w:hAnsi="Times New Roman" w:eastAsia="宋体"/>
          <w:kern w:val="0"/>
          <w:szCs w:val="22"/>
          <w:lang w:val="en-US" w:eastAsia="zh-CN"/>
        </w:rPr>
      </w:pPr>
      <w:r>
        <w:rPr>
          <w:rFonts w:hint="eastAsia" w:cs="Times New Roman"/>
          <w:szCs w:val="22"/>
          <w:lang w:val="en-US" w:eastAsia="zh-CN"/>
        </w:rPr>
        <w:t>7）</w:t>
      </w:r>
      <w:r>
        <w:rPr>
          <w:rFonts w:hint="eastAsia" w:ascii="宋体" w:hAnsi="Times New Roman"/>
          <w:kern w:val="0"/>
          <w:szCs w:val="22"/>
        </w:rPr>
        <w:t>职业卫生现场安全</w:t>
      </w:r>
      <w:r>
        <w:rPr>
          <w:rFonts w:hint="eastAsia" w:ascii="宋体" w:hAnsi="Times New Roman"/>
          <w:kern w:val="0"/>
          <w:szCs w:val="22"/>
          <w:lang w:val="en-US" w:eastAsia="zh-CN"/>
        </w:rPr>
        <w:t>；</w:t>
      </w:r>
    </w:p>
    <w:p>
      <w:pPr>
        <w:pStyle w:val="21"/>
        <w:numPr>
          <w:ilvl w:val="0"/>
          <w:numId w:val="0"/>
        </w:numPr>
        <w:ind w:left="420" w:leftChars="0" w:firstLine="420" w:firstLineChars="200"/>
        <w:rPr>
          <w:rFonts w:hint="eastAsia" w:ascii="宋体" w:hAnsi="Times New Roman" w:eastAsia="宋体"/>
          <w:kern w:val="0"/>
          <w:szCs w:val="22"/>
          <w:lang w:val="en-US" w:eastAsia="zh-CN"/>
        </w:rPr>
      </w:pPr>
      <w:r>
        <w:rPr>
          <w:rFonts w:hint="eastAsia" w:ascii="宋体" w:hAnsi="Times New Roman"/>
          <w:kern w:val="0"/>
          <w:szCs w:val="22"/>
          <w:lang w:val="en-US" w:eastAsia="zh-CN"/>
        </w:rPr>
        <w:t>8）</w:t>
      </w:r>
      <w:r>
        <w:rPr>
          <w:rFonts w:hint="eastAsia" w:ascii="宋体" w:hAnsi="Times New Roman"/>
          <w:kern w:val="0"/>
          <w:szCs w:val="22"/>
        </w:rPr>
        <w:t>有限空间现场安全</w:t>
      </w:r>
      <w:r>
        <w:rPr>
          <w:rFonts w:hint="eastAsia" w:ascii="宋体" w:hAnsi="Times New Roman"/>
          <w:kern w:val="0"/>
          <w:szCs w:val="22"/>
          <w:lang w:val="en-US" w:eastAsia="zh-CN"/>
        </w:rPr>
        <w:t>；</w:t>
      </w:r>
    </w:p>
    <w:p>
      <w:pPr>
        <w:pStyle w:val="21"/>
        <w:numPr>
          <w:ilvl w:val="0"/>
          <w:numId w:val="0"/>
        </w:numPr>
        <w:ind w:left="420" w:leftChars="0" w:firstLine="420" w:firstLineChars="200"/>
        <w:rPr>
          <w:rFonts w:hint="eastAsia" w:ascii="宋体" w:hAnsi="Times New Roman" w:eastAsia="宋体"/>
          <w:kern w:val="0"/>
          <w:szCs w:val="22"/>
          <w:lang w:val="en-US" w:eastAsia="zh-CN"/>
        </w:rPr>
      </w:pPr>
      <w:r>
        <w:rPr>
          <w:rFonts w:hint="eastAsia" w:ascii="宋体" w:hAnsi="Times New Roman"/>
          <w:kern w:val="0"/>
          <w:szCs w:val="22"/>
          <w:lang w:val="en-US" w:eastAsia="zh-CN"/>
        </w:rPr>
        <w:t>9）</w:t>
      </w:r>
      <w:r>
        <w:rPr>
          <w:rFonts w:hint="eastAsia" w:ascii="宋体" w:hAnsi="Times New Roman"/>
          <w:kern w:val="0"/>
          <w:szCs w:val="22"/>
        </w:rPr>
        <w:t>辅助动力系统</w:t>
      </w:r>
      <w:r>
        <w:rPr>
          <w:rFonts w:hint="eastAsia" w:ascii="宋体" w:hAnsi="Times New Roman"/>
          <w:kern w:val="0"/>
          <w:szCs w:val="22"/>
          <w:lang w:val="en-US" w:eastAsia="zh-CN"/>
        </w:rPr>
        <w:t>；</w:t>
      </w:r>
    </w:p>
    <w:p>
      <w:pPr>
        <w:pStyle w:val="21"/>
        <w:numPr>
          <w:ilvl w:val="0"/>
          <w:numId w:val="0"/>
        </w:numPr>
        <w:ind w:left="420" w:leftChars="0" w:firstLine="420" w:firstLineChars="200"/>
        <w:rPr>
          <w:rFonts w:hint="eastAsia" w:ascii="宋体" w:hAnsi="Times New Roman" w:eastAsia="宋体"/>
          <w:kern w:val="0"/>
          <w:szCs w:val="22"/>
          <w:lang w:val="en-US" w:eastAsia="zh-CN"/>
        </w:rPr>
      </w:pPr>
      <w:r>
        <w:rPr>
          <w:rFonts w:hint="eastAsia" w:ascii="宋体" w:hAnsi="Times New Roman"/>
          <w:kern w:val="0"/>
          <w:szCs w:val="22"/>
          <w:lang w:val="en-US" w:eastAsia="zh-CN"/>
        </w:rPr>
        <w:t>10）</w:t>
      </w:r>
      <w:r>
        <w:rPr>
          <w:rFonts w:hint="eastAsia" w:ascii="宋体" w:hAnsi="Times New Roman"/>
          <w:kern w:val="0"/>
          <w:szCs w:val="22"/>
        </w:rPr>
        <w:t>相关方现场管理</w:t>
      </w:r>
      <w:r>
        <w:rPr>
          <w:rFonts w:hint="eastAsia" w:ascii="宋体" w:hAnsi="Times New Roman"/>
          <w:kern w:val="0"/>
          <w:szCs w:val="22"/>
          <w:lang w:val="en-US" w:eastAsia="zh-CN"/>
        </w:rPr>
        <w:t>；</w:t>
      </w:r>
    </w:p>
    <w:p>
      <w:pPr>
        <w:pStyle w:val="21"/>
        <w:numPr>
          <w:ilvl w:val="0"/>
          <w:numId w:val="0"/>
        </w:numPr>
        <w:ind w:left="420" w:leftChars="0" w:firstLine="420" w:firstLineChars="200"/>
        <w:rPr>
          <w:rFonts w:hint="eastAsia" w:ascii="宋体" w:hAnsi="Times New Roman" w:eastAsia="宋体"/>
          <w:kern w:val="0"/>
          <w:szCs w:val="22"/>
          <w:lang w:eastAsia="zh-CN"/>
        </w:rPr>
      </w:pPr>
      <w:r>
        <w:rPr>
          <w:rFonts w:hint="eastAsia" w:ascii="宋体" w:hAnsi="Times New Roman"/>
          <w:kern w:val="0"/>
          <w:szCs w:val="22"/>
          <w:lang w:val="en-US" w:eastAsia="zh-CN"/>
        </w:rPr>
        <w:t>11）</w:t>
      </w:r>
      <w:r>
        <w:rPr>
          <w:rFonts w:hint="eastAsia" w:ascii="宋体" w:hAnsi="Times New Roman"/>
          <w:kern w:val="0"/>
          <w:szCs w:val="22"/>
        </w:rPr>
        <w:t>其他现场管理</w:t>
      </w:r>
      <w:r>
        <w:rPr>
          <w:rFonts w:hint="eastAsia" w:ascii="宋体" w:hAnsi="Times New Roman"/>
          <w:kern w:val="0"/>
          <w:szCs w:val="22"/>
          <w:lang w:eastAsia="zh-CN"/>
        </w:rPr>
        <w:t>。</w:t>
      </w:r>
    </w:p>
    <w:p>
      <w:pPr>
        <w:pStyle w:val="51"/>
        <w:bidi w:val="0"/>
        <w:ind w:left="0" w:leftChars="0" w:firstLine="0" w:firstLineChars="0"/>
        <w:rPr>
          <w:rFonts w:hint="eastAsia"/>
          <w:lang w:val="en-US" w:eastAsia="zh-CN"/>
        </w:rPr>
      </w:pPr>
      <w:bookmarkStart w:id="131" w:name="_Toc21726"/>
      <w:bookmarkStart w:id="132" w:name="_Toc8254"/>
      <w:bookmarkStart w:id="133" w:name="_Toc19541"/>
      <w:r>
        <w:rPr>
          <w:rFonts w:hint="eastAsia"/>
          <w:lang w:val="en-US" w:eastAsia="zh-CN"/>
        </w:rPr>
        <w:t>隐患排查</w:t>
      </w:r>
      <w:bookmarkEnd w:id="131"/>
      <w:bookmarkEnd w:id="132"/>
      <w:bookmarkEnd w:id="133"/>
    </w:p>
    <w:p>
      <w:pPr>
        <w:pStyle w:val="51"/>
        <w:numPr>
          <w:ilvl w:val="1"/>
          <w:numId w:val="0"/>
        </w:numPr>
        <w:bidi w:val="0"/>
        <w:ind w:leftChars="0"/>
        <w:rPr>
          <w:rFonts w:hint="default" w:hAnsi="Times New Roman" w:cs="Times New Roman"/>
          <w:lang w:val="en-US" w:eastAsia="zh-CN"/>
        </w:rPr>
      </w:pPr>
      <w:bookmarkStart w:id="134" w:name="_Toc2065"/>
      <w:bookmarkStart w:id="135" w:name="_Toc12838"/>
      <w:r>
        <w:rPr>
          <w:rFonts w:hint="eastAsia" w:hAnsi="Times New Roman" w:cs="Times New Roman"/>
          <w:lang w:val="en-US" w:eastAsia="zh-CN"/>
        </w:rPr>
        <w:t>6.2.1</w:t>
      </w:r>
      <w:r>
        <w:rPr>
          <w:rFonts w:hint="eastAsia" w:cs="Times New Roman"/>
          <w:lang w:val="en-US" w:eastAsia="zh-CN"/>
        </w:rPr>
        <w:t>策划</w:t>
      </w:r>
      <w:bookmarkEnd w:id="134"/>
      <w:bookmarkEnd w:id="135"/>
    </w:p>
    <w:p>
      <w:pPr>
        <w:keepNext w:val="0"/>
        <w:keepLines w:val="0"/>
        <w:widowControl/>
        <w:suppressLineNumbers w:val="0"/>
        <w:ind w:firstLine="420" w:firstLineChars="200"/>
        <w:jc w:val="left"/>
        <w:rPr>
          <w:rFonts w:hint="eastAsia" w:ascii="宋体" w:hAnsi="宋体" w:eastAsia="宋体" w:cs="宋体"/>
          <w:color w:val="000000"/>
          <w:kern w:val="0"/>
          <w:sz w:val="21"/>
          <w:szCs w:val="21"/>
          <w:lang w:val="en-US" w:eastAsia="zh-CN" w:bidi="ar"/>
        </w:rPr>
      </w:pPr>
      <w:r>
        <w:rPr>
          <w:rFonts w:hint="eastAsia"/>
          <w:lang w:val="en-US" w:eastAsia="zh-CN"/>
        </w:rPr>
        <w:t>企业应</w:t>
      </w:r>
      <w:r>
        <w:rPr>
          <w:rFonts w:hint="eastAsia" w:ascii="宋体" w:hAnsi="宋体" w:cs="宋体"/>
          <w:color w:val="000000"/>
          <w:kern w:val="0"/>
          <w:sz w:val="21"/>
          <w:szCs w:val="21"/>
          <w:lang w:val="en-US" w:eastAsia="zh-CN" w:bidi="ar"/>
        </w:rPr>
        <w:t>根</w:t>
      </w:r>
      <w:r>
        <w:rPr>
          <w:rFonts w:hint="eastAsia" w:ascii="宋体" w:hAnsi="宋体" w:eastAsia="宋体" w:cs="宋体"/>
          <w:color w:val="000000"/>
          <w:kern w:val="0"/>
          <w:sz w:val="21"/>
          <w:szCs w:val="21"/>
          <w:lang w:val="en-US" w:eastAsia="zh-CN" w:bidi="ar"/>
        </w:rPr>
        <w:t>据</w:t>
      </w:r>
      <w:r>
        <w:rPr>
          <w:rFonts w:hint="eastAsia" w:ascii="宋体" w:hAnsi="宋体" w:cs="宋体"/>
          <w:color w:val="000000"/>
          <w:kern w:val="0"/>
          <w:sz w:val="21"/>
          <w:szCs w:val="21"/>
          <w:lang w:val="en-US" w:eastAsia="zh-CN" w:bidi="ar"/>
        </w:rPr>
        <w:t>法律法规和隐患排查治理制度要求</w:t>
      </w:r>
      <w:r>
        <w:rPr>
          <w:rFonts w:hint="eastAsia" w:ascii="宋体" w:hAnsi="宋体" w:eastAsia="宋体" w:cs="宋体"/>
          <w:color w:val="000000"/>
          <w:kern w:val="0"/>
          <w:sz w:val="21"/>
          <w:szCs w:val="21"/>
          <w:lang w:val="en-US" w:eastAsia="zh-CN" w:bidi="ar"/>
        </w:rPr>
        <w:t>，</w:t>
      </w:r>
      <w:r>
        <w:rPr>
          <w:rFonts w:hint="eastAsia" w:ascii="宋体" w:hAnsi="宋体" w:cs="宋体"/>
          <w:color w:val="000000"/>
          <w:kern w:val="0"/>
          <w:sz w:val="21"/>
          <w:szCs w:val="21"/>
          <w:lang w:val="en-US" w:eastAsia="zh-CN" w:bidi="ar"/>
        </w:rPr>
        <w:t>确定隐患排查周期，并</w:t>
      </w:r>
      <w:r>
        <w:rPr>
          <w:rFonts w:hint="eastAsia" w:ascii="宋体" w:hAnsi="宋体" w:eastAsia="宋体" w:cs="宋体"/>
          <w:color w:val="000000"/>
          <w:kern w:val="0"/>
          <w:sz w:val="21"/>
          <w:szCs w:val="21"/>
          <w:lang w:val="en-US" w:eastAsia="zh-CN" w:bidi="ar"/>
        </w:rPr>
        <w:t>编制</w:t>
      </w:r>
      <w:r>
        <w:rPr>
          <w:rFonts w:hint="eastAsia" w:ascii="宋体" w:hAnsi="宋体" w:cs="宋体"/>
          <w:color w:val="000000"/>
          <w:kern w:val="0"/>
          <w:sz w:val="21"/>
          <w:szCs w:val="21"/>
          <w:lang w:val="en-US" w:eastAsia="zh-CN" w:bidi="ar"/>
        </w:rPr>
        <w:t>隐患</w:t>
      </w:r>
      <w:r>
        <w:rPr>
          <w:rFonts w:hint="eastAsia" w:ascii="宋体" w:hAnsi="宋体" w:eastAsia="宋体" w:cs="宋体"/>
          <w:color w:val="000000"/>
          <w:kern w:val="0"/>
          <w:sz w:val="21"/>
          <w:szCs w:val="21"/>
          <w:lang w:val="en-US" w:eastAsia="zh-CN" w:bidi="ar"/>
        </w:rPr>
        <w:t>排查</w:t>
      </w:r>
      <w:r>
        <w:rPr>
          <w:rFonts w:hint="eastAsia" w:ascii="宋体" w:hAnsi="宋体" w:cs="宋体"/>
          <w:color w:val="000000"/>
          <w:kern w:val="0"/>
          <w:sz w:val="21"/>
          <w:szCs w:val="21"/>
          <w:lang w:val="en-US" w:eastAsia="zh-CN" w:bidi="ar"/>
        </w:rPr>
        <w:t>清</w:t>
      </w:r>
      <w:r>
        <w:rPr>
          <w:rFonts w:hint="eastAsia" w:ascii="宋体" w:hAnsi="宋体" w:eastAsia="宋体" w:cs="宋体"/>
          <w:color w:val="000000"/>
          <w:kern w:val="0"/>
          <w:sz w:val="21"/>
          <w:szCs w:val="21"/>
          <w:lang w:val="en-US" w:eastAsia="zh-CN" w:bidi="ar"/>
        </w:rPr>
        <w:t>单。隐患排查清单包括基础管理类隐患</w:t>
      </w:r>
      <w:r>
        <w:rPr>
          <w:rFonts w:hint="eastAsia" w:ascii="宋体" w:hAnsi="宋体" w:cs="宋体"/>
          <w:color w:val="000000"/>
          <w:kern w:val="0"/>
          <w:sz w:val="21"/>
          <w:szCs w:val="21"/>
          <w:lang w:val="en-US" w:eastAsia="zh-CN" w:bidi="ar"/>
        </w:rPr>
        <w:t>和</w:t>
      </w:r>
      <w:r>
        <w:rPr>
          <w:rFonts w:hint="eastAsia" w:ascii="宋体" w:hAnsi="宋体" w:eastAsia="宋体" w:cs="宋体"/>
          <w:color w:val="000000"/>
          <w:kern w:val="0"/>
          <w:sz w:val="21"/>
          <w:szCs w:val="21"/>
          <w:lang w:val="en-US" w:eastAsia="zh-CN" w:bidi="ar"/>
        </w:rPr>
        <w:t>现场</w:t>
      </w:r>
      <w:r>
        <w:rPr>
          <w:rFonts w:hint="eastAsia" w:ascii="宋体" w:hAnsi="宋体" w:cs="宋体"/>
          <w:color w:val="000000"/>
          <w:kern w:val="0"/>
          <w:sz w:val="21"/>
          <w:szCs w:val="21"/>
          <w:lang w:val="en-US" w:eastAsia="zh-CN" w:bidi="ar"/>
        </w:rPr>
        <w:t>管理</w:t>
      </w:r>
      <w:r>
        <w:rPr>
          <w:rFonts w:hint="eastAsia" w:ascii="宋体" w:hAnsi="宋体" w:eastAsia="宋体" w:cs="宋体"/>
          <w:color w:val="000000"/>
          <w:kern w:val="0"/>
          <w:sz w:val="21"/>
          <w:szCs w:val="21"/>
          <w:lang w:val="en-US" w:eastAsia="zh-CN" w:bidi="ar"/>
        </w:rPr>
        <w:t>类隐患</w:t>
      </w:r>
      <w:r>
        <w:rPr>
          <w:rFonts w:hint="eastAsia" w:ascii="宋体" w:hAnsi="宋体" w:cs="宋体"/>
          <w:color w:val="000000"/>
          <w:kern w:val="0"/>
          <w:sz w:val="21"/>
          <w:szCs w:val="21"/>
          <w:lang w:val="en-US" w:eastAsia="zh-CN" w:bidi="ar"/>
        </w:rPr>
        <w:t>排查内容</w:t>
      </w:r>
      <w:r>
        <w:rPr>
          <w:rFonts w:hint="eastAsia" w:ascii="宋体" w:hAnsi="宋体" w:eastAsia="宋体" w:cs="宋体"/>
          <w:color w:val="000000"/>
          <w:kern w:val="0"/>
          <w:sz w:val="21"/>
          <w:szCs w:val="21"/>
          <w:lang w:val="en-US" w:eastAsia="zh-CN" w:bidi="ar"/>
        </w:rPr>
        <w:t>。</w:t>
      </w:r>
    </w:p>
    <w:p>
      <w:pPr>
        <w:keepNext w:val="0"/>
        <w:keepLines w:val="0"/>
        <w:widowControl/>
        <w:suppressLineNumbers w:val="0"/>
        <w:ind w:firstLine="420" w:firstLineChars="200"/>
        <w:jc w:val="left"/>
        <w:rPr>
          <w:rFonts w:hint="default" w:ascii="宋体" w:hAnsi="宋体" w:eastAsia="宋体" w:cs="宋体"/>
          <w:color w:val="000000"/>
          <w:kern w:val="0"/>
          <w:sz w:val="21"/>
          <w:szCs w:val="21"/>
          <w:lang w:val="en-US" w:eastAsia="zh-CN" w:bidi="ar"/>
        </w:rPr>
      </w:pPr>
      <w:r>
        <w:rPr>
          <w:rFonts w:hint="eastAsia" w:ascii="宋体" w:hAnsi="宋体" w:cs="宋体"/>
          <w:color w:val="000000"/>
          <w:kern w:val="0"/>
          <w:sz w:val="21"/>
          <w:szCs w:val="21"/>
          <w:lang w:val="en-US" w:eastAsia="zh-CN" w:bidi="ar"/>
        </w:rPr>
        <w:t>隐患排查清单内容应包括（但不限于）：</w:t>
      </w:r>
    </w:p>
    <w:p>
      <w:pPr>
        <w:pStyle w:val="21"/>
        <w:numPr>
          <w:ilvl w:val="0"/>
          <w:numId w:val="36"/>
        </w:numPr>
        <w:ind w:left="420" w:leftChars="0" w:firstLine="0" w:firstLineChars="0"/>
        <w:rPr>
          <w:rFonts w:hint="eastAsia" w:ascii="宋体" w:hAnsi="Times New Roman" w:eastAsia="宋体" w:cs="Times New Roman"/>
          <w:szCs w:val="22"/>
          <w:lang w:val="en-US" w:eastAsia="zh-CN"/>
        </w:rPr>
      </w:pPr>
      <w:r>
        <w:rPr>
          <w:rFonts w:hint="eastAsia" w:ascii="宋体" w:hAnsi="Times New Roman" w:eastAsia="宋体" w:cs="Times New Roman"/>
          <w:szCs w:val="22"/>
          <w:lang w:val="en-US" w:eastAsia="zh-CN"/>
        </w:rPr>
        <w:t>基础管理</w:t>
      </w:r>
      <w:r>
        <w:rPr>
          <w:rFonts w:hint="eastAsia" w:cs="Times New Roman"/>
          <w:szCs w:val="22"/>
          <w:lang w:val="en-US" w:eastAsia="zh-CN"/>
        </w:rPr>
        <w:t>分类</w:t>
      </w:r>
      <w:r>
        <w:rPr>
          <w:rFonts w:hint="eastAsia" w:ascii="宋体" w:hAnsi="Times New Roman" w:eastAsia="宋体" w:cs="Times New Roman"/>
          <w:szCs w:val="22"/>
          <w:lang w:val="en-US" w:eastAsia="zh-CN"/>
        </w:rPr>
        <w:t>名称</w:t>
      </w:r>
      <w:r>
        <w:rPr>
          <w:rFonts w:hint="eastAsia" w:cs="Times New Roman"/>
          <w:szCs w:val="22"/>
          <w:lang w:val="en-US" w:eastAsia="zh-CN"/>
        </w:rPr>
        <w:t>或生产设备设施名称、作业名称</w:t>
      </w:r>
      <w:r>
        <w:rPr>
          <w:rFonts w:hint="eastAsia" w:ascii="宋体" w:hAnsi="Times New Roman" w:eastAsia="宋体" w:cs="Times New Roman"/>
          <w:szCs w:val="22"/>
          <w:lang w:val="en-US" w:eastAsia="zh-CN"/>
        </w:rPr>
        <w:t xml:space="preserve">； </w:t>
      </w:r>
    </w:p>
    <w:p>
      <w:pPr>
        <w:pStyle w:val="21"/>
        <w:numPr>
          <w:ilvl w:val="0"/>
          <w:numId w:val="36"/>
        </w:numPr>
        <w:ind w:left="420" w:leftChars="0" w:firstLine="0" w:firstLineChars="0"/>
        <w:rPr>
          <w:rFonts w:hint="eastAsia" w:ascii="宋体" w:hAnsi="Times New Roman" w:eastAsia="宋体" w:cs="Times New Roman"/>
          <w:szCs w:val="22"/>
          <w:lang w:val="en-US" w:eastAsia="zh-CN"/>
        </w:rPr>
      </w:pPr>
      <w:r>
        <w:rPr>
          <w:rFonts w:hint="eastAsia" w:ascii="宋体" w:hAnsi="Times New Roman" w:eastAsia="宋体" w:cs="Times New Roman"/>
          <w:szCs w:val="22"/>
          <w:lang w:val="en-US" w:eastAsia="zh-CN"/>
        </w:rPr>
        <w:t xml:space="preserve">排查内容； </w:t>
      </w:r>
    </w:p>
    <w:p>
      <w:pPr>
        <w:pStyle w:val="21"/>
        <w:numPr>
          <w:ilvl w:val="0"/>
          <w:numId w:val="36"/>
        </w:numPr>
        <w:ind w:left="420" w:leftChars="0" w:firstLine="0" w:firstLineChars="0"/>
        <w:rPr>
          <w:rFonts w:hint="eastAsia" w:ascii="宋体" w:hAnsi="Times New Roman" w:eastAsia="宋体" w:cs="Times New Roman"/>
          <w:szCs w:val="22"/>
          <w:lang w:val="en-US" w:eastAsia="zh-CN"/>
        </w:rPr>
      </w:pPr>
      <w:r>
        <w:rPr>
          <w:rFonts w:hint="eastAsia" w:ascii="宋体" w:hAnsi="Times New Roman" w:eastAsia="宋体" w:cs="Times New Roman"/>
          <w:szCs w:val="22"/>
          <w:lang w:val="en-US" w:eastAsia="zh-CN"/>
        </w:rPr>
        <w:t xml:space="preserve">排查标准； </w:t>
      </w:r>
    </w:p>
    <w:p>
      <w:pPr>
        <w:pStyle w:val="21"/>
        <w:numPr>
          <w:ilvl w:val="0"/>
          <w:numId w:val="36"/>
        </w:numPr>
        <w:ind w:left="420" w:leftChars="0" w:firstLine="0" w:firstLineChars="0"/>
        <w:rPr>
          <w:rFonts w:hint="eastAsia" w:ascii="宋体" w:hAnsi="Times New Roman" w:eastAsia="宋体" w:cs="Times New Roman"/>
          <w:szCs w:val="22"/>
          <w:lang w:val="en-US" w:eastAsia="zh-CN"/>
        </w:rPr>
      </w:pPr>
      <w:r>
        <w:rPr>
          <w:rFonts w:hint="eastAsia" w:ascii="宋体" w:hAnsi="Times New Roman" w:eastAsia="宋体" w:cs="Times New Roman"/>
          <w:szCs w:val="22"/>
          <w:lang w:val="en-US" w:eastAsia="zh-CN"/>
        </w:rPr>
        <w:t>排查方法。</w:t>
      </w:r>
    </w:p>
    <w:p>
      <w:pPr>
        <w:pStyle w:val="21"/>
        <w:numPr>
          <w:ilvl w:val="0"/>
          <w:numId w:val="0"/>
        </w:numPr>
        <w:ind w:firstLine="420" w:firstLineChars="200"/>
        <w:rPr>
          <w:rFonts w:hint="eastAsia" w:ascii="宋体" w:hAnsi="Times New Roman" w:eastAsia="宋体" w:cs="Times New Roman"/>
          <w:szCs w:val="22"/>
          <w:lang w:val="en-US" w:eastAsia="zh-CN"/>
        </w:rPr>
      </w:pPr>
      <w:r>
        <w:rPr>
          <w:rFonts w:hint="eastAsia"/>
          <w:lang w:val="en-US" w:eastAsia="zh-CN"/>
        </w:rPr>
        <w:t>隐患排查清单应</w:t>
      </w:r>
      <w:r>
        <w:rPr>
          <w:rFonts w:hint="eastAsia" w:ascii="宋体" w:hAnsi="Times New Roman" w:eastAsia="宋体" w:cs="Times New Roman"/>
          <w:szCs w:val="22"/>
          <w:lang w:val="en-US" w:eastAsia="zh-CN"/>
        </w:rPr>
        <w:t>作为成文信息予以保持和保留。</w:t>
      </w:r>
    </w:p>
    <w:p>
      <w:pPr>
        <w:pStyle w:val="51"/>
        <w:numPr>
          <w:ilvl w:val="1"/>
          <w:numId w:val="0"/>
        </w:numPr>
        <w:bidi w:val="0"/>
        <w:ind w:leftChars="0"/>
        <w:rPr>
          <w:rFonts w:hint="default" w:hAnsi="Times New Roman" w:cs="Times New Roman"/>
          <w:lang w:val="en-US" w:eastAsia="zh-CN"/>
        </w:rPr>
      </w:pPr>
      <w:bookmarkStart w:id="136" w:name="_Toc7859"/>
      <w:bookmarkStart w:id="137" w:name="_Toc8852"/>
      <w:bookmarkStart w:id="138" w:name="_Toc1457"/>
      <w:r>
        <w:rPr>
          <w:rFonts w:hint="eastAsia" w:hAnsi="Times New Roman" w:cs="Times New Roman"/>
          <w:lang w:val="en-US" w:eastAsia="zh-CN"/>
        </w:rPr>
        <w:t>6.2.</w:t>
      </w:r>
      <w:r>
        <w:rPr>
          <w:rFonts w:hint="eastAsia" w:cs="Times New Roman"/>
          <w:lang w:val="en-US" w:eastAsia="zh-CN"/>
        </w:rPr>
        <w:t>2</w:t>
      </w:r>
      <w:r>
        <w:rPr>
          <w:rFonts w:hint="eastAsia" w:hAnsi="Times New Roman" w:cs="Times New Roman"/>
          <w:lang w:val="en-US" w:eastAsia="zh-CN"/>
        </w:rPr>
        <w:t>实施</w:t>
      </w:r>
      <w:bookmarkEnd w:id="136"/>
      <w:bookmarkEnd w:id="137"/>
      <w:bookmarkEnd w:id="138"/>
    </w:p>
    <w:p>
      <w:pPr>
        <w:keepNext w:val="0"/>
        <w:keepLines w:val="0"/>
        <w:widowControl/>
        <w:suppressLineNumbers w:val="0"/>
        <w:ind w:firstLine="420" w:firstLineChars="200"/>
        <w:jc w:val="left"/>
        <w:rPr>
          <w:rFonts w:hint="eastAsia" w:ascii="宋体" w:hAnsi="宋体" w:cs="宋体"/>
          <w:color w:val="000000"/>
          <w:kern w:val="0"/>
          <w:sz w:val="21"/>
          <w:szCs w:val="21"/>
          <w:lang w:val="en-US" w:eastAsia="zh-CN" w:bidi="ar"/>
        </w:rPr>
      </w:pPr>
      <w:r>
        <w:rPr>
          <w:rFonts w:hint="eastAsia" w:ascii="宋体" w:hAnsi="宋体" w:cs="宋体"/>
          <w:color w:val="000000"/>
          <w:kern w:val="0"/>
          <w:sz w:val="21"/>
          <w:szCs w:val="21"/>
          <w:lang w:val="en-US" w:eastAsia="zh-CN" w:bidi="ar"/>
        </w:rPr>
        <w:t>企业应在隐患排查实施前确定：</w:t>
      </w:r>
    </w:p>
    <w:p>
      <w:pPr>
        <w:pStyle w:val="21"/>
        <w:numPr>
          <w:ilvl w:val="0"/>
          <w:numId w:val="37"/>
        </w:numPr>
        <w:ind w:left="420" w:leftChars="0" w:firstLine="0" w:firstLineChars="0"/>
        <w:rPr>
          <w:rFonts w:hint="eastAsia" w:ascii="宋体" w:hAnsi="Times New Roman" w:eastAsia="宋体" w:cs="Times New Roman"/>
          <w:szCs w:val="22"/>
          <w:lang w:val="en-US" w:eastAsia="zh-CN"/>
        </w:rPr>
      </w:pPr>
      <w:r>
        <w:rPr>
          <w:rFonts w:hint="eastAsia" w:cs="Times New Roman"/>
          <w:szCs w:val="22"/>
          <w:lang w:val="en-US" w:eastAsia="zh-CN"/>
        </w:rPr>
        <w:t>隐患</w:t>
      </w:r>
      <w:r>
        <w:rPr>
          <w:rFonts w:hint="eastAsia" w:ascii="宋体" w:hAnsi="Times New Roman" w:eastAsia="宋体" w:cs="Times New Roman"/>
          <w:szCs w:val="22"/>
          <w:lang w:val="en-US" w:eastAsia="zh-CN"/>
        </w:rPr>
        <w:t>排查类型</w:t>
      </w:r>
      <w:r>
        <w:rPr>
          <w:rFonts w:hint="eastAsia" w:cs="Times New Roman"/>
          <w:szCs w:val="22"/>
          <w:lang w:val="en-US" w:eastAsia="zh-CN"/>
        </w:rPr>
        <w:t>；</w:t>
      </w:r>
    </w:p>
    <w:p>
      <w:pPr>
        <w:pStyle w:val="21"/>
        <w:numPr>
          <w:ilvl w:val="0"/>
          <w:numId w:val="37"/>
        </w:numPr>
        <w:ind w:left="420" w:leftChars="0" w:firstLine="0" w:firstLineChars="0"/>
        <w:rPr>
          <w:rFonts w:hint="eastAsia" w:ascii="宋体" w:hAnsi="Times New Roman" w:eastAsia="宋体" w:cs="Times New Roman"/>
          <w:szCs w:val="22"/>
          <w:lang w:val="en-US" w:eastAsia="zh-CN"/>
        </w:rPr>
      </w:pPr>
      <w:r>
        <w:rPr>
          <w:rFonts w:hint="eastAsia" w:cs="Times New Roman"/>
          <w:szCs w:val="22"/>
          <w:lang w:val="en-US" w:eastAsia="zh-CN"/>
        </w:rPr>
        <w:t>隐患</w:t>
      </w:r>
      <w:r>
        <w:rPr>
          <w:rFonts w:hint="eastAsia" w:ascii="宋体" w:hAnsi="Times New Roman" w:eastAsia="宋体" w:cs="Times New Roman"/>
          <w:szCs w:val="22"/>
          <w:lang w:val="en-US" w:eastAsia="zh-CN"/>
        </w:rPr>
        <w:t>排查</w:t>
      </w:r>
      <w:r>
        <w:rPr>
          <w:rFonts w:hint="eastAsia" w:cs="Times New Roman"/>
          <w:szCs w:val="22"/>
          <w:lang w:val="en-US" w:eastAsia="zh-CN"/>
        </w:rPr>
        <w:t>范围；</w:t>
      </w:r>
    </w:p>
    <w:p>
      <w:pPr>
        <w:pStyle w:val="21"/>
        <w:numPr>
          <w:ilvl w:val="0"/>
          <w:numId w:val="37"/>
        </w:numPr>
        <w:ind w:left="420" w:leftChars="0" w:firstLine="0" w:firstLineChars="0"/>
        <w:rPr>
          <w:rFonts w:hint="eastAsia" w:ascii="宋体" w:hAnsi="Times New Roman" w:eastAsia="宋体" w:cs="Times New Roman"/>
          <w:szCs w:val="22"/>
          <w:lang w:val="en-US" w:eastAsia="zh-CN"/>
        </w:rPr>
      </w:pPr>
      <w:r>
        <w:rPr>
          <w:rFonts w:hint="eastAsia" w:cs="Times New Roman"/>
          <w:szCs w:val="22"/>
          <w:lang w:val="en-US" w:eastAsia="zh-CN"/>
        </w:rPr>
        <w:t>隐患</w:t>
      </w:r>
      <w:r>
        <w:rPr>
          <w:rFonts w:hint="eastAsia" w:ascii="宋体" w:hAnsi="Times New Roman" w:eastAsia="宋体" w:cs="Times New Roman"/>
          <w:szCs w:val="22"/>
          <w:lang w:val="en-US" w:eastAsia="zh-CN"/>
        </w:rPr>
        <w:t>排查要求</w:t>
      </w:r>
      <w:r>
        <w:rPr>
          <w:rFonts w:hint="eastAsia" w:cs="Times New Roman"/>
          <w:szCs w:val="22"/>
          <w:lang w:val="en-US" w:eastAsia="zh-CN"/>
        </w:rPr>
        <w:t>；</w:t>
      </w:r>
    </w:p>
    <w:p>
      <w:pPr>
        <w:pStyle w:val="21"/>
        <w:numPr>
          <w:ilvl w:val="0"/>
          <w:numId w:val="37"/>
        </w:numPr>
        <w:ind w:left="420" w:leftChars="0" w:firstLine="0" w:firstLineChars="0"/>
        <w:rPr>
          <w:rFonts w:hint="eastAsia" w:ascii="宋体" w:hAnsi="Times New Roman" w:eastAsia="宋体" w:cs="Times New Roman"/>
          <w:szCs w:val="22"/>
          <w:lang w:val="en-US" w:eastAsia="zh-CN"/>
        </w:rPr>
      </w:pPr>
      <w:r>
        <w:rPr>
          <w:rFonts w:hint="eastAsia" w:cs="Times New Roman"/>
          <w:szCs w:val="22"/>
          <w:lang w:val="en-US" w:eastAsia="zh-CN"/>
        </w:rPr>
        <w:t>排查人员安排；</w:t>
      </w:r>
    </w:p>
    <w:p>
      <w:pPr>
        <w:pStyle w:val="21"/>
        <w:numPr>
          <w:ilvl w:val="0"/>
          <w:numId w:val="37"/>
        </w:numPr>
        <w:ind w:left="420" w:leftChars="0" w:firstLine="0" w:firstLineChars="0"/>
        <w:rPr>
          <w:rFonts w:hint="eastAsia" w:ascii="宋体" w:hAnsi="Times New Roman" w:eastAsia="宋体" w:cs="Times New Roman"/>
          <w:szCs w:val="22"/>
          <w:lang w:val="en-US" w:eastAsia="zh-CN"/>
        </w:rPr>
      </w:pPr>
      <w:r>
        <w:rPr>
          <w:rFonts w:hint="eastAsia" w:cs="Times New Roman"/>
          <w:szCs w:val="22"/>
          <w:lang w:val="en-US" w:eastAsia="zh-CN"/>
        </w:rPr>
        <w:t>其他事项。</w:t>
      </w:r>
    </w:p>
    <w:p>
      <w:pPr>
        <w:pStyle w:val="21"/>
        <w:numPr>
          <w:ilvl w:val="0"/>
          <w:numId w:val="0"/>
        </w:numPr>
        <w:ind w:left="0" w:leftChars="0" w:firstLine="420" w:firstLineChars="200"/>
        <w:rPr>
          <w:rFonts w:hint="eastAsia" w:ascii="宋体" w:hAnsi="Times New Roman" w:eastAsia="宋体" w:cs="Times New Roman"/>
          <w:szCs w:val="22"/>
          <w:lang w:val="en-US" w:eastAsia="zh-CN"/>
        </w:rPr>
      </w:pPr>
      <w:r>
        <w:rPr>
          <w:rFonts w:hint="eastAsia" w:hAnsi="宋体" w:cs="宋体"/>
          <w:color w:val="000000"/>
          <w:kern w:val="0"/>
          <w:sz w:val="21"/>
          <w:szCs w:val="21"/>
          <w:lang w:val="en-US" w:eastAsia="zh-CN" w:bidi="ar"/>
        </w:rPr>
        <w:t>企业应根据</w:t>
      </w:r>
      <w:r>
        <w:rPr>
          <w:rFonts w:hint="eastAsia" w:ascii="宋体" w:hAnsi="宋体" w:cs="宋体"/>
          <w:color w:val="000000"/>
          <w:kern w:val="0"/>
          <w:sz w:val="21"/>
          <w:szCs w:val="21"/>
          <w:lang w:val="en-US" w:eastAsia="zh-CN" w:bidi="ar"/>
        </w:rPr>
        <w:t>隐患</w:t>
      </w:r>
      <w:r>
        <w:rPr>
          <w:rFonts w:hint="eastAsia" w:ascii="宋体" w:hAnsi="宋体" w:eastAsia="宋体" w:cs="宋体"/>
          <w:color w:val="000000"/>
          <w:kern w:val="0"/>
          <w:sz w:val="21"/>
          <w:szCs w:val="21"/>
          <w:lang w:val="en-US" w:eastAsia="zh-CN" w:bidi="ar"/>
        </w:rPr>
        <w:t>排查类型、</w:t>
      </w:r>
      <w:r>
        <w:rPr>
          <w:rFonts w:hint="eastAsia" w:hAnsi="宋体" w:cs="宋体"/>
          <w:color w:val="000000"/>
          <w:kern w:val="0"/>
          <w:sz w:val="21"/>
          <w:szCs w:val="21"/>
          <w:lang w:val="en-US" w:eastAsia="zh-CN" w:bidi="ar"/>
        </w:rPr>
        <w:t>范围</w:t>
      </w:r>
      <w:r>
        <w:rPr>
          <w:rFonts w:hint="eastAsia" w:ascii="宋体" w:hAnsi="宋体" w:cs="宋体"/>
          <w:color w:val="000000"/>
          <w:kern w:val="0"/>
          <w:sz w:val="21"/>
          <w:szCs w:val="21"/>
          <w:lang w:val="en-US" w:eastAsia="zh-CN" w:bidi="ar"/>
        </w:rPr>
        <w:t>、</w:t>
      </w:r>
      <w:r>
        <w:rPr>
          <w:rFonts w:hint="eastAsia" w:ascii="宋体" w:hAnsi="宋体" w:eastAsia="宋体" w:cs="宋体"/>
          <w:color w:val="000000"/>
          <w:kern w:val="0"/>
          <w:sz w:val="21"/>
          <w:szCs w:val="21"/>
          <w:lang w:val="en-US" w:eastAsia="zh-CN" w:bidi="ar"/>
        </w:rPr>
        <w:t>人员</w:t>
      </w:r>
      <w:r>
        <w:rPr>
          <w:rFonts w:hint="eastAsia" w:ascii="宋体" w:hAnsi="宋体" w:cs="宋体"/>
          <w:color w:val="000000"/>
          <w:kern w:val="0"/>
          <w:sz w:val="21"/>
          <w:szCs w:val="21"/>
          <w:lang w:val="en-US" w:eastAsia="zh-CN" w:bidi="ar"/>
        </w:rPr>
        <w:t>数量</w:t>
      </w:r>
      <w:r>
        <w:rPr>
          <w:rFonts w:hint="eastAsia" w:ascii="宋体" w:hAnsi="宋体" w:eastAsia="宋体" w:cs="宋体"/>
          <w:color w:val="000000"/>
          <w:kern w:val="0"/>
          <w:sz w:val="21"/>
          <w:szCs w:val="21"/>
          <w:lang w:val="en-US" w:eastAsia="zh-CN" w:bidi="ar"/>
        </w:rPr>
        <w:t>、时间安排和季节特点</w:t>
      </w:r>
      <w:r>
        <w:rPr>
          <w:rFonts w:hint="eastAsia" w:ascii="宋体" w:hAnsi="宋体" w:cs="宋体"/>
          <w:color w:val="000000"/>
          <w:kern w:val="0"/>
          <w:sz w:val="21"/>
          <w:szCs w:val="21"/>
          <w:lang w:val="en-US" w:eastAsia="zh-CN" w:bidi="ar"/>
        </w:rPr>
        <w:t>等</w:t>
      </w:r>
      <w:r>
        <w:rPr>
          <w:rFonts w:hint="eastAsia" w:ascii="宋体" w:hAnsi="宋体" w:eastAsia="宋体" w:cs="宋体"/>
          <w:color w:val="000000"/>
          <w:kern w:val="0"/>
          <w:sz w:val="21"/>
          <w:szCs w:val="21"/>
          <w:lang w:val="en-US" w:eastAsia="zh-CN" w:bidi="ar"/>
        </w:rPr>
        <w:t>，</w:t>
      </w:r>
      <w:r>
        <w:rPr>
          <w:rFonts w:hint="eastAsia" w:hAnsi="宋体" w:cs="宋体"/>
          <w:color w:val="000000"/>
          <w:kern w:val="0"/>
          <w:sz w:val="21"/>
          <w:szCs w:val="21"/>
          <w:lang w:val="en-US" w:eastAsia="zh-CN" w:bidi="ar"/>
        </w:rPr>
        <w:t>选择有</w:t>
      </w:r>
      <w:r>
        <w:rPr>
          <w:rFonts w:hint="eastAsia" w:ascii="宋体" w:hAnsi="宋体" w:eastAsia="宋体" w:cs="宋体"/>
          <w:color w:val="000000"/>
          <w:kern w:val="0"/>
          <w:sz w:val="21"/>
          <w:szCs w:val="21"/>
          <w:lang w:val="en-US" w:eastAsia="zh-CN" w:bidi="ar"/>
        </w:rPr>
        <w:t>针对性的排查</w:t>
      </w:r>
      <w:r>
        <w:rPr>
          <w:rFonts w:hint="eastAsia" w:ascii="宋体" w:hAnsi="宋体" w:cs="宋体"/>
          <w:color w:val="000000"/>
          <w:kern w:val="0"/>
          <w:sz w:val="21"/>
          <w:szCs w:val="21"/>
          <w:lang w:val="en-US" w:eastAsia="zh-CN" w:bidi="ar"/>
        </w:rPr>
        <w:t>内容</w:t>
      </w:r>
      <w:r>
        <w:rPr>
          <w:rFonts w:hint="eastAsia" w:hAnsi="宋体" w:cs="宋体"/>
          <w:color w:val="000000"/>
          <w:kern w:val="0"/>
          <w:sz w:val="21"/>
          <w:szCs w:val="21"/>
          <w:lang w:val="en-US" w:eastAsia="zh-CN" w:bidi="ar"/>
        </w:rPr>
        <w:t>。</w:t>
      </w:r>
    </w:p>
    <w:p>
      <w:pPr>
        <w:pStyle w:val="21"/>
        <w:numPr>
          <w:ilvl w:val="-1"/>
          <w:numId w:val="0"/>
        </w:numPr>
        <w:ind w:left="0" w:firstLine="420" w:firstLineChars="0"/>
        <w:rPr>
          <w:rFonts w:hint="eastAsia" w:ascii="宋体" w:hAnsi="Times New Roman" w:eastAsia="宋体" w:cs="Times New Roman"/>
          <w:kern w:val="0"/>
          <w:sz w:val="21"/>
          <w:szCs w:val="22"/>
          <w:lang w:val="en-US" w:eastAsia="zh-CN" w:bidi="ar-SA"/>
        </w:rPr>
      </w:pPr>
      <w:r>
        <w:rPr>
          <w:rFonts w:hint="eastAsia" w:cs="Times New Roman"/>
          <w:szCs w:val="22"/>
          <w:lang w:val="en-US" w:eastAsia="zh-CN"/>
        </w:rPr>
        <w:t>企业应</w:t>
      </w:r>
      <w:r>
        <w:rPr>
          <w:rFonts w:hint="eastAsia" w:ascii="宋体" w:hAnsi="Times New Roman" w:eastAsia="宋体" w:cs="Times New Roman"/>
          <w:kern w:val="0"/>
          <w:sz w:val="21"/>
          <w:szCs w:val="22"/>
          <w:lang w:val="en-US" w:eastAsia="zh-CN" w:bidi="ar-SA"/>
        </w:rPr>
        <w:t>按照</w:t>
      </w:r>
      <w:r>
        <w:rPr>
          <w:rFonts w:hint="eastAsia" w:cs="Times New Roman"/>
          <w:kern w:val="0"/>
          <w:sz w:val="21"/>
          <w:szCs w:val="22"/>
          <w:lang w:val="en-US" w:eastAsia="zh-CN" w:bidi="ar-SA"/>
        </w:rPr>
        <w:t>策划的内容组织</w:t>
      </w:r>
      <w:r>
        <w:rPr>
          <w:rFonts w:hint="eastAsia" w:ascii="宋体" w:hAnsi="Times New Roman" w:eastAsia="宋体" w:cs="Times New Roman"/>
          <w:kern w:val="0"/>
          <w:sz w:val="21"/>
          <w:szCs w:val="22"/>
          <w:lang w:val="en-US" w:eastAsia="zh-CN" w:bidi="ar-SA"/>
        </w:rPr>
        <w:t>隐患排查</w:t>
      </w:r>
      <w:r>
        <w:rPr>
          <w:rFonts w:hint="eastAsia" w:cs="Times New Roman"/>
          <w:kern w:val="0"/>
          <w:sz w:val="21"/>
          <w:szCs w:val="22"/>
          <w:lang w:val="en-US" w:eastAsia="zh-CN" w:bidi="ar-SA"/>
        </w:rPr>
        <w:t>工作，</w:t>
      </w:r>
      <w:r>
        <w:rPr>
          <w:rFonts w:hint="eastAsia" w:ascii="宋体" w:hAnsi="Times New Roman" w:eastAsia="宋体" w:cs="Times New Roman"/>
          <w:kern w:val="0"/>
          <w:sz w:val="21"/>
          <w:szCs w:val="22"/>
          <w:lang w:val="en-US" w:eastAsia="zh-CN" w:bidi="ar-SA"/>
        </w:rPr>
        <w:t xml:space="preserve">填写隐患排查记录。 </w:t>
      </w:r>
    </w:p>
    <w:p>
      <w:pPr>
        <w:keepNext w:val="0"/>
        <w:keepLines w:val="0"/>
        <w:widowControl/>
        <w:suppressLineNumbers w:val="0"/>
        <w:ind w:firstLine="420" w:firstLineChars="200"/>
        <w:jc w:val="left"/>
        <w:rPr>
          <w:rFonts w:hint="eastAsia" w:ascii="宋体" w:hAnsi="Times New Roman" w:eastAsia="宋体" w:cs="Times New Roman"/>
          <w:kern w:val="0"/>
          <w:sz w:val="21"/>
          <w:szCs w:val="22"/>
          <w:lang w:val="en-US" w:eastAsia="zh-CN" w:bidi="ar-SA"/>
        </w:rPr>
      </w:pPr>
      <w:r>
        <w:rPr>
          <w:rFonts w:hint="eastAsia"/>
          <w:lang w:val="en-US" w:eastAsia="zh-CN"/>
        </w:rPr>
        <w:t>隐患排查资料应</w:t>
      </w:r>
      <w:r>
        <w:rPr>
          <w:rFonts w:hint="eastAsia" w:ascii="宋体" w:hAnsi="Times New Roman" w:eastAsia="宋体" w:cs="Times New Roman"/>
          <w:szCs w:val="22"/>
          <w:lang w:val="en-US" w:eastAsia="zh-CN"/>
        </w:rPr>
        <w:t>作为成文信息予以保持和保留。</w:t>
      </w:r>
    </w:p>
    <w:p>
      <w:pPr>
        <w:pStyle w:val="51"/>
        <w:bidi w:val="0"/>
        <w:ind w:left="0" w:leftChars="0" w:firstLine="0" w:firstLineChars="0"/>
        <w:rPr>
          <w:rFonts w:hint="eastAsia" w:hAnsi="Times New Roman" w:cs="Times New Roman"/>
          <w:lang w:val="en-US" w:eastAsia="zh-CN"/>
        </w:rPr>
      </w:pPr>
      <w:bookmarkStart w:id="139" w:name="_Toc23483"/>
      <w:bookmarkStart w:id="140" w:name="_Toc15106"/>
      <w:bookmarkStart w:id="141" w:name="_Toc26074"/>
      <w:r>
        <w:rPr>
          <w:rFonts w:hint="eastAsia"/>
          <w:lang w:val="en-US" w:eastAsia="zh-CN"/>
        </w:rPr>
        <w:t>隐患治理</w:t>
      </w:r>
      <w:bookmarkEnd w:id="139"/>
      <w:bookmarkEnd w:id="140"/>
      <w:bookmarkEnd w:id="141"/>
    </w:p>
    <w:p>
      <w:pPr>
        <w:pStyle w:val="51"/>
        <w:numPr>
          <w:ilvl w:val="1"/>
          <w:numId w:val="0"/>
        </w:numPr>
        <w:bidi w:val="0"/>
        <w:ind w:leftChars="0"/>
        <w:rPr>
          <w:rFonts w:hint="eastAsia" w:hAnsi="Times New Roman" w:cs="Times New Roman"/>
          <w:lang w:val="en-US" w:eastAsia="zh-CN"/>
        </w:rPr>
      </w:pPr>
      <w:bookmarkStart w:id="142" w:name="_Toc19555"/>
      <w:bookmarkStart w:id="143" w:name="_Toc7734"/>
      <w:r>
        <w:rPr>
          <w:rFonts w:hint="eastAsia" w:hAnsi="Times New Roman" w:cs="Times New Roman"/>
          <w:lang w:val="en-US" w:eastAsia="zh-CN"/>
        </w:rPr>
        <w:t>6.3.1</w:t>
      </w:r>
      <w:r>
        <w:rPr>
          <w:rFonts w:hint="eastAsia" w:cs="Times New Roman"/>
          <w:lang w:val="en-US" w:eastAsia="zh-CN"/>
        </w:rPr>
        <w:t>分级</w:t>
      </w:r>
      <w:r>
        <w:rPr>
          <w:rFonts w:hint="eastAsia" w:hAnsi="Times New Roman" w:cs="Times New Roman"/>
          <w:lang w:val="en-US" w:eastAsia="zh-CN"/>
        </w:rPr>
        <w:t>治理</w:t>
      </w:r>
      <w:bookmarkEnd w:id="142"/>
      <w:bookmarkEnd w:id="143"/>
    </w:p>
    <w:p>
      <w:pPr>
        <w:pStyle w:val="21"/>
        <w:ind w:left="0" w:leftChars="0" w:firstLine="420" w:firstLineChars="200"/>
      </w:pPr>
      <w:r>
        <w:rPr>
          <w:rFonts w:hint="eastAsia"/>
          <w:lang w:val="en-US" w:eastAsia="zh-CN"/>
        </w:rPr>
        <w:t>企业应</w:t>
      </w:r>
      <w:r>
        <w:t>对排查出的事故隐患按照等级进行登记，建立事故隐患信息档案，并按照职责分工实施监控治理。</w:t>
      </w:r>
    </w:p>
    <w:p>
      <w:pPr>
        <w:pStyle w:val="21"/>
        <w:ind w:left="0" w:leftChars="0" w:firstLine="420" w:firstLineChars="200"/>
        <w:rPr>
          <w:rFonts w:hint="default" w:eastAsia="宋体"/>
          <w:lang w:val="en-US" w:eastAsia="zh-CN"/>
        </w:rPr>
      </w:pPr>
      <w:r>
        <w:rPr>
          <w:rFonts w:hint="eastAsia"/>
          <w:lang w:val="en-US" w:eastAsia="zh-CN"/>
        </w:rPr>
        <w:t>企业应对事故隐患进行分级治理：</w:t>
      </w:r>
    </w:p>
    <w:p>
      <w:pPr>
        <w:pStyle w:val="21"/>
        <w:numPr>
          <w:ilvl w:val="0"/>
          <w:numId w:val="38"/>
        </w:numPr>
        <w:ind w:left="420" w:leftChars="0" w:firstLine="0" w:firstLineChars="0"/>
        <w:rPr>
          <w:rFonts w:hint="eastAsia" w:cs="Times New Roman"/>
          <w:szCs w:val="22"/>
          <w:lang w:val="en-US" w:eastAsia="zh-CN"/>
        </w:rPr>
      </w:pPr>
      <w:r>
        <w:rPr>
          <w:rFonts w:hint="eastAsia" w:cs="Times New Roman"/>
          <w:szCs w:val="22"/>
          <w:lang w:val="en-US" w:eastAsia="zh-CN"/>
        </w:rPr>
        <w:t>对一般事故隐患，由企业负责人或者有关人员立即组织整改，并安排专人进行确认整改情况。</w:t>
      </w:r>
    </w:p>
    <w:p>
      <w:pPr>
        <w:pStyle w:val="21"/>
        <w:numPr>
          <w:ilvl w:val="0"/>
          <w:numId w:val="38"/>
        </w:numPr>
        <w:ind w:left="420" w:leftChars="0" w:firstLine="0" w:firstLineChars="0"/>
        <w:rPr>
          <w:rFonts w:hint="eastAsia" w:cs="Times New Roman"/>
          <w:szCs w:val="22"/>
          <w:lang w:val="en-US" w:eastAsia="zh-CN"/>
        </w:rPr>
      </w:pPr>
      <w:r>
        <w:rPr>
          <w:rFonts w:hint="eastAsia" w:cs="Times New Roman"/>
          <w:szCs w:val="22"/>
          <w:lang w:val="en-US" w:eastAsia="zh-CN"/>
        </w:rPr>
        <w:t xml:space="preserve">对重大事故隐患，由企业主要负责人组织制定并实施事故隐患治理方案。重大事故隐患治理方案应包括： </w:t>
      </w:r>
    </w:p>
    <w:p>
      <w:pPr>
        <w:pStyle w:val="21"/>
        <w:numPr>
          <w:ilvl w:val="0"/>
          <w:numId w:val="0"/>
        </w:numPr>
        <w:ind w:left="420" w:leftChars="0" w:firstLine="420" w:firstLineChars="200"/>
        <w:rPr>
          <w:rFonts w:hint="eastAsia" w:ascii="宋体" w:hAnsi="Times New Roman"/>
          <w:kern w:val="0"/>
          <w:szCs w:val="22"/>
          <w:lang w:val="en-US" w:eastAsia="zh-CN"/>
        </w:rPr>
      </w:pPr>
      <w:r>
        <w:rPr>
          <w:rFonts w:hint="eastAsia" w:ascii="宋体" w:hAnsi="Times New Roman"/>
          <w:kern w:val="0"/>
          <w:szCs w:val="22"/>
          <w:lang w:val="en-US" w:eastAsia="zh-CN"/>
        </w:rPr>
        <w:t xml:space="preserve">1）治理的目标和任务； </w:t>
      </w:r>
    </w:p>
    <w:p>
      <w:pPr>
        <w:pStyle w:val="21"/>
        <w:numPr>
          <w:ilvl w:val="0"/>
          <w:numId w:val="0"/>
        </w:numPr>
        <w:ind w:left="420" w:leftChars="0" w:firstLine="420" w:firstLineChars="200"/>
        <w:rPr>
          <w:rFonts w:hint="eastAsia" w:ascii="宋体" w:hAnsi="Times New Roman"/>
          <w:kern w:val="0"/>
          <w:szCs w:val="22"/>
          <w:lang w:val="en-US" w:eastAsia="zh-CN"/>
        </w:rPr>
      </w:pPr>
      <w:r>
        <w:rPr>
          <w:rFonts w:hint="eastAsia" w:ascii="宋体" w:hAnsi="Times New Roman"/>
          <w:kern w:val="0"/>
          <w:szCs w:val="22"/>
          <w:lang w:val="en-US" w:eastAsia="zh-CN"/>
        </w:rPr>
        <w:t xml:space="preserve">2）采取的方法和措施； </w:t>
      </w:r>
    </w:p>
    <w:p>
      <w:pPr>
        <w:pStyle w:val="21"/>
        <w:numPr>
          <w:ilvl w:val="0"/>
          <w:numId w:val="0"/>
        </w:numPr>
        <w:ind w:left="420" w:leftChars="0" w:firstLine="420" w:firstLineChars="200"/>
        <w:rPr>
          <w:rFonts w:hint="eastAsia" w:ascii="宋体" w:hAnsi="Times New Roman"/>
          <w:kern w:val="0"/>
          <w:szCs w:val="22"/>
          <w:lang w:val="en-US" w:eastAsia="zh-CN"/>
        </w:rPr>
      </w:pPr>
      <w:r>
        <w:rPr>
          <w:rFonts w:hint="eastAsia" w:ascii="宋体" w:hAnsi="Times New Roman"/>
          <w:kern w:val="0"/>
          <w:szCs w:val="22"/>
          <w:lang w:val="en-US" w:eastAsia="zh-CN"/>
        </w:rPr>
        <w:t xml:space="preserve">3）经费和物资的落实； </w:t>
      </w:r>
    </w:p>
    <w:p>
      <w:pPr>
        <w:pStyle w:val="21"/>
        <w:numPr>
          <w:ilvl w:val="0"/>
          <w:numId w:val="0"/>
        </w:numPr>
        <w:ind w:left="420" w:leftChars="0" w:firstLine="420" w:firstLineChars="200"/>
        <w:rPr>
          <w:rFonts w:hint="eastAsia" w:ascii="宋体" w:hAnsi="Times New Roman"/>
          <w:kern w:val="0"/>
          <w:szCs w:val="22"/>
          <w:lang w:val="en-US" w:eastAsia="zh-CN"/>
        </w:rPr>
      </w:pPr>
      <w:r>
        <w:rPr>
          <w:rFonts w:hint="eastAsia" w:ascii="宋体" w:hAnsi="Times New Roman"/>
          <w:kern w:val="0"/>
          <w:szCs w:val="22"/>
          <w:lang w:val="en-US" w:eastAsia="zh-CN"/>
        </w:rPr>
        <w:t xml:space="preserve">4）负责治理的机构和人员； </w:t>
      </w:r>
    </w:p>
    <w:p>
      <w:pPr>
        <w:pStyle w:val="21"/>
        <w:numPr>
          <w:ilvl w:val="0"/>
          <w:numId w:val="0"/>
        </w:numPr>
        <w:ind w:left="420" w:leftChars="0" w:firstLine="420" w:firstLineChars="200"/>
        <w:rPr>
          <w:rFonts w:hint="eastAsia" w:ascii="宋体" w:hAnsi="Times New Roman"/>
          <w:kern w:val="0"/>
          <w:szCs w:val="22"/>
          <w:lang w:val="en-US" w:eastAsia="zh-CN"/>
        </w:rPr>
      </w:pPr>
      <w:r>
        <w:rPr>
          <w:rFonts w:hint="eastAsia" w:ascii="宋体" w:hAnsi="Times New Roman"/>
          <w:kern w:val="0"/>
          <w:szCs w:val="22"/>
          <w:lang w:val="en-US" w:eastAsia="zh-CN"/>
        </w:rPr>
        <w:t xml:space="preserve">5）治理的时限和要求； </w:t>
      </w:r>
    </w:p>
    <w:p>
      <w:pPr>
        <w:pStyle w:val="21"/>
        <w:numPr>
          <w:ilvl w:val="0"/>
          <w:numId w:val="0"/>
        </w:numPr>
        <w:ind w:left="420" w:leftChars="0" w:firstLine="420" w:firstLineChars="200"/>
        <w:rPr>
          <w:rFonts w:hint="eastAsia"/>
          <w:szCs w:val="22"/>
        </w:rPr>
      </w:pPr>
      <w:r>
        <w:rPr>
          <w:rFonts w:hint="eastAsia" w:ascii="宋体" w:hAnsi="Times New Roman"/>
          <w:kern w:val="0"/>
          <w:szCs w:val="22"/>
          <w:lang w:val="en-US" w:eastAsia="zh-CN"/>
        </w:rPr>
        <w:t>6）安全措施和应急预案。</w:t>
      </w:r>
      <w:r>
        <w:rPr>
          <w:rFonts w:hint="eastAsia"/>
          <w:szCs w:val="22"/>
        </w:rPr>
        <w:t xml:space="preserve"> </w:t>
      </w:r>
    </w:p>
    <w:p>
      <w:pPr>
        <w:pStyle w:val="21"/>
        <w:numPr>
          <w:ilvl w:val="0"/>
          <w:numId w:val="0"/>
        </w:numPr>
        <w:ind w:firstLine="420" w:firstLineChars="200"/>
        <w:rPr>
          <w:rFonts w:hint="eastAsia"/>
          <w:szCs w:val="24"/>
        </w:rPr>
      </w:pPr>
      <w:r>
        <w:rPr>
          <w:rFonts w:hint="eastAsia" w:ascii="Times New Roman" w:hAnsi="Times New Roman" w:cs="Times New Roman"/>
          <w:color w:val="000000"/>
          <w:kern w:val="2"/>
          <w:sz w:val="21"/>
          <w:szCs w:val="24"/>
        </w:rPr>
        <w:t>企业在隐患治理过程中，应采取相应的监控防范措施。隐患排</w:t>
      </w:r>
      <w:r>
        <w:rPr>
          <w:rFonts w:hint="eastAsia" w:ascii="Times New Roman" w:cs="Times New Roman"/>
          <w:color w:val="000000"/>
          <w:kern w:val="2"/>
          <w:sz w:val="21"/>
          <w:szCs w:val="24"/>
          <w:lang w:val="en-US" w:eastAsia="zh-CN"/>
        </w:rPr>
        <w:t>查</w:t>
      </w:r>
      <w:r>
        <w:rPr>
          <w:rFonts w:hint="eastAsia" w:ascii="Times New Roman" w:hAnsi="Times New Roman" w:cs="Times New Roman"/>
          <w:color w:val="000000"/>
          <w:kern w:val="2"/>
          <w:sz w:val="21"/>
          <w:szCs w:val="24"/>
        </w:rPr>
        <w:t>前或排</w:t>
      </w:r>
      <w:r>
        <w:rPr>
          <w:rFonts w:hint="eastAsia" w:ascii="Times New Roman" w:cs="Times New Roman"/>
          <w:color w:val="000000"/>
          <w:kern w:val="2"/>
          <w:sz w:val="21"/>
          <w:szCs w:val="24"/>
          <w:lang w:val="en-US" w:eastAsia="zh-CN"/>
        </w:rPr>
        <w:t>查</w:t>
      </w:r>
      <w:r>
        <w:rPr>
          <w:rFonts w:hint="eastAsia" w:ascii="Times New Roman" w:hAnsi="Times New Roman" w:cs="Times New Roman"/>
          <w:color w:val="000000"/>
          <w:kern w:val="2"/>
          <w:sz w:val="21"/>
          <w:szCs w:val="24"/>
        </w:rPr>
        <w:t>过程中无法保证安全的，应从危险区域内撤出作业人员，疏</w:t>
      </w:r>
      <w:r>
        <w:rPr>
          <w:rFonts w:hint="eastAsia" w:cs="Times New Roman"/>
          <w:kern w:val="2"/>
          <w:sz w:val="21"/>
          <w:szCs w:val="24"/>
          <w:lang w:val="en-US" w:eastAsia="zh-CN"/>
        </w:rPr>
        <w:t>散</w:t>
      </w:r>
      <w:r>
        <w:rPr>
          <w:rFonts w:hint="eastAsia" w:ascii="Times New Roman" w:hAnsi="Times New Roman" w:cs="Times New Roman"/>
          <w:color w:val="000000"/>
          <w:kern w:val="2"/>
          <w:sz w:val="21"/>
          <w:szCs w:val="24"/>
        </w:rPr>
        <w:t>可能危及的人员，设置警戒标</w:t>
      </w:r>
      <w:r>
        <w:rPr>
          <w:rFonts w:hint="eastAsia" w:ascii="Times New Roman" w:cs="Times New Roman"/>
          <w:color w:val="000000"/>
          <w:kern w:val="2"/>
          <w:sz w:val="21"/>
          <w:szCs w:val="24"/>
          <w:lang w:val="en-US" w:eastAsia="zh-CN"/>
        </w:rPr>
        <w:t>识</w:t>
      </w:r>
      <w:r>
        <w:rPr>
          <w:rFonts w:hint="eastAsia" w:ascii="Times New Roman" w:hAnsi="Times New Roman" w:cs="Times New Roman"/>
          <w:color w:val="000000"/>
          <w:kern w:val="2"/>
          <w:sz w:val="21"/>
          <w:szCs w:val="24"/>
        </w:rPr>
        <w:t>，暂时停产停业或停止使用相关设备、设施。</w:t>
      </w:r>
    </w:p>
    <w:p>
      <w:pPr>
        <w:pStyle w:val="21"/>
        <w:rPr>
          <w:rFonts w:hint="eastAsia"/>
          <w:lang w:val="en-US" w:eastAsia="zh-CN"/>
        </w:rPr>
      </w:pPr>
      <w:r>
        <w:rPr>
          <w:rFonts w:hint="eastAsia"/>
          <w:lang w:val="en-US" w:eastAsia="zh-CN"/>
        </w:rPr>
        <w:t>隐患治理应</w:t>
      </w:r>
      <w:r>
        <w:rPr>
          <w:rFonts w:hint="eastAsia" w:ascii="宋体" w:hAnsi="Times New Roman" w:eastAsia="宋体" w:cs="Times New Roman"/>
          <w:szCs w:val="22"/>
          <w:lang w:val="en-US" w:eastAsia="zh-CN"/>
        </w:rPr>
        <w:t>作为成文信息予以保持和保留。</w:t>
      </w:r>
    </w:p>
    <w:p>
      <w:pPr>
        <w:pStyle w:val="51"/>
        <w:numPr>
          <w:ilvl w:val="1"/>
          <w:numId w:val="0"/>
        </w:numPr>
        <w:bidi w:val="0"/>
        <w:ind w:leftChars="0"/>
        <w:rPr>
          <w:rFonts w:hint="default" w:hAnsi="Times New Roman" w:cs="Times New Roman"/>
          <w:lang w:val="en-US" w:eastAsia="zh-CN"/>
        </w:rPr>
      </w:pPr>
      <w:bookmarkStart w:id="144" w:name="_Toc9066"/>
      <w:bookmarkStart w:id="145" w:name="_Toc32458"/>
      <w:bookmarkStart w:id="146" w:name="_Toc192"/>
      <w:r>
        <w:rPr>
          <w:rFonts w:hint="eastAsia" w:hAnsi="Times New Roman" w:cs="Times New Roman"/>
          <w:lang w:val="en-US" w:eastAsia="zh-CN"/>
        </w:rPr>
        <w:t>6.3.</w:t>
      </w:r>
      <w:r>
        <w:rPr>
          <w:rFonts w:hint="eastAsia" w:cs="Times New Roman"/>
          <w:lang w:val="en-US" w:eastAsia="zh-CN"/>
        </w:rPr>
        <w:t>2</w:t>
      </w:r>
      <w:r>
        <w:rPr>
          <w:rFonts w:hint="eastAsia" w:hAnsi="Times New Roman" w:cs="Times New Roman"/>
          <w:lang w:val="en-US" w:eastAsia="zh-CN"/>
        </w:rPr>
        <w:t>验收</w:t>
      </w:r>
      <w:bookmarkEnd w:id="144"/>
      <w:r>
        <w:rPr>
          <w:rFonts w:hint="eastAsia" w:cs="Times New Roman"/>
          <w:lang w:val="en-US" w:eastAsia="zh-CN"/>
        </w:rPr>
        <w:t>评估</w:t>
      </w:r>
      <w:bookmarkEnd w:id="145"/>
      <w:bookmarkEnd w:id="146"/>
    </w:p>
    <w:p>
      <w:pPr>
        <w:keepNext w:val="0"/>
        <w:keepLines w:val="0"/>
        <w:widowControl/>
        <w:suppressLineNumbers w:val="0"/>
        <w:ind w:firstLine="420" w:firstLineChars="200"/>
        <w:jc w:val="left"/>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隐患治理完成后，</w:t>
      </w:r>
      <w:r>
        <w:rPr>
          <w:rFonts w:hint="eastAsia" w:ascii="宋体" w:hAnsi="宋体" w:cs="宋体"/>
          <w:color w:val="000000"/>
          <w:kern w:val="0"/>
          <w:sz w:val="21"/>
          <w:szCs w:val="21"/>
          <w:lang w:val="en-US" w:eastAsia="zh-CN" w:bidi="ar"/>
        </w:rPr>
        <w:t>企业</w:t>
      </w:r>
      <w:r>
        <w:rPr>
          <w:rFonts w:hint="eastAsia" w:ascii="宋体" w:hAnsi="宋体" w:eastAsia="宋体" w:cs="宋体"/>
          <w:color w:val="000000"/>
          <w:kern w:val="0"/>
          <w:sz w:val="21"/>
          <w:szCs w:val="21"/>
          <w:lang w:val="en-US" w:eastAsia="zh-CN" w:bidi="ar"/>
        </w:rPr>
        <w:t>应</w:t>
      </w:r>
      <w:r>
        <w:rPr>
          <w:rFonts w:hint="eastAsia" w:ascii="宋体" w:hAnsi="宋体" w:cs="宋体"/>
          <w:color w:val="000000"/>
          <w:kern w:val="0"/>
          <w:sz w:val="21"/>
          <w:szCs w:val="21"/>
          <w:lang w:val="en-US" w:eastAsia="zh-CN" w:bidi="ar"/>
        </w:rPr>
        <w:t>按照有关规定</w:t>
      </w:r>
      <w:r>
        <w:rPr>
          <w:rFonts w:hint="eastAsia" w:ascii="宋体" w:hAnsi="宋体" w:eastAsia="宋体" w:cs="宋体"/>
          <w:color w:val="000000"/>
          <w:kern w:val="0"/>
          <w:sz w:val="21"/>
          <w:szCs w:val="21"/>
          <w:lang w:val="en-US" w:eastAsia="zh-CN" w:bidi="ar"/>
        </w:rPr>
        <w:t>对治理情况进行验收</w:t>
      </w:r>
      <w:r>
        <w:rPr>
          <w:rFonts w:hint="eastAsia" w:ascii="宋体" w:hAnsi="宋体" w:cs="宋体"/>
          <w:color w:val="000000"/>
          <w:kern w:val="0"/>
          <w:sz w:val="21"/>
          <w:szCs w:val="21"/>
          <w:lang w:val="en-US" w:eastAsia="zh-CN" w:bidi="ar"/>
        </w:rPr>
        <w:t>、评估</w:t>
      </w:r>
      <w:r>
        <w:rPr>
          <w:rFonts w:hint="eastAsia" w:ascii="宋体" w:hAnsi="宋体" w:eastAsia="宋体" w:cs="宋体"/>
          <w:color w:val="000000"/>
          <w:kern w:val="0"/>
          <w:sz w:val="21"/>
          <w:szCs w:val="21"/>
          <w:lang w:val="en-US" w:eastAsia="zh-CN" w:bidi="ar"/>
        </w:rPr>
        <w:t>，实现闭环管理。</w:t>
      </w:r>
    </w:p>
    <w:p>
      <w:pPr>
        <w:keepNext w:val="0"/>
        <w:keepLines w:val="0"/>
        <w:widowControl/>
        <w:suppressLineNumbers w:val="0"/>
        <w:ind w:firstLine="420" w:firstLineChars="200"/>
        <w:jc w:val="left"/>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重大</w:t>
      </w:r>
      <w:r>
        <w:rPr>
          <w:rFonts w:hint="eastAsia" w:ascii="宋体" w:hAnsi="宋体" w:cs="宋体"/>
          <w:color w:val="000000"/>
          <w:kern w:val="0"/>
          <w:sz w:val="21"/>
          <w:szCs w:val="21"/>
          <w:lang w:val="en-US" w:eastAsia="zh-CN" w:bidi="ar"/>
        </w:rPr>
        <w:t>事故</w:t>
      </w:r>
      <w:r>
        <w:rPr>
          <w:rFonts w:hint="eastAsia" w:ascii="宋体" w:hAnsi="宋体" w:eastAsia="宋体" w:cs="宋体"/>
          <w:color w:val="000000"/>
          <w:kern w:val="0"/>
          <w:sz w:val="21"/>
          <w:szCs w:val="21"/>
          <w:lang w:val="en-US" w:eastAsia="zh-CN" w:bidi="ar"/>
        </w:rPr>
        <w:t>隐患治理</w:t>
      </w:r>
      <w:r>
        <w:rPr>
          <w:rFonts w:hint="eastAsia" w:ascii="宋体" w:hAnsi="宋体" w:cs="宋体"/>
          <w:color w:val="000000"/>
          <w:kern w:val="0"/>
          <w:sz w:val="21"/>
          <w:szCs w:val="21"/>
          <w:lang w:val="en-US" w:eastAsia="zh-CN" w:bidi="ar"/>
        </w:rPr>
        <w:t>完成</w:t>
      </w:r>
      <w:r>
        <w:rPr>
          <w:rFonts w:hint="eastAsia" w:ascii="宋体" w:hAnsi="宋体" w:eastAsia="宋体" w:cs="宋体"/>
          <w:color w:val="000000"/>
          <w:kern w:val="0"/>
          <w:sz w:val="21"/>
          <w:szCs w:val="21"/>
          <w:lang w:val="en-US" w:eastAsia="zh-CN" w:bidi="ar"/>
        </w:rPr>
        <w:t>后，企业应</w:t>
      </w:r>
      <w:r>
        <w:rPr>
          <w:rFonts w:hint="eastAsia" w:ascii="宋体" w:hAnsi="宋体" w:cs="宋体"/>
          <w:color w:val="000000"/>
          <w:kern w:val="0"/>
          <w:sz w:val="21"/>
          <w:szCs w:val="21"/>
          <w:lang w:bidi="ar"/>
        </w:rPr>
        <w:t>组织验收或委托依法设立的为安全生产提供技术、管理服务的机构进行评估</w:t>
      </w:r>
      <w:r>
        <w:rPr>
          <w:rFonts w:hint="eastAsia" w:ascii="宋体" w:hAnsi="宋体" w:eastAsia="宋体" w:cs="宋体"/>
          <w:color w:val="000000"/>
          <w:kern w:val="0"/>
          <w:sz w:val="21"/>
          <w:szCs w:val="21"/>
          <w:lang w:val="en-US" w:eastAsia="zh-CN" w:bidi="ar"/>
        </w:rPr>
        <w:t>。</w:t>
      </w:r>
    </w:p>
    <w:p>
      <w:pPr>
        <w:keepNext w:val="0"/>
        <w:keepLines w:val="0"/>
        <w:widowControl/>
        <w:suppressLineNumbers w:val="0"/>
        <w:ind w:firstLine="420" w:firstLineChars="200"/>
        <w:jc w:val="left"/>
      </w:pPr>
      <w:r>
        <w:rPr>
          <w:rFonts w:hint="eastAsia" w:ascii="宋体" w:hAnsi="宋体" w:eastAsia="宋体" w:cs="宋体"/>
          <w:color w:val="000000"/>
          <w:kern w:val="0"/>
          <w:sz w:val="21"/>
          <w:szCs w:val="21"/>
          <w:lang w:val="en-US" w:eastAsia="zh-CN" w:bidi="ar"/>
        </w:rPr>
        <w:t>对政府督办的重大</w:t>
      </w:r>
      <w:r>
        <w:rPr>
          <w:rFonts w:hint="eastAsia" w:ascii="宋体" w:hAnsi="宋体" w:cs="宋体"/>
          <w:color w:val="000000"/>
          <w:kern w:val="0"/>
          <w:sz w:val="21"/>
          <w:szCs w:val="21"/>
          <w:lang w:val="en-US" w:eastAsia="zh-CN" w:bidi="ar"/>
        </w:rPr>
        <w:t>事故</w:t>
      </w:r>
      <w:r>
        <w:rPr>
          <w:rFonts w:hint="eastAsia" w:ascii="宋体" w:hAnsi="宋体" w:eastAsia="宋体" w:cs="宋体"/>
          <w:color w:val="000000"/>
          <w:kern w:val="0"/>
          <w:sz w:val="21"/>
          <w:szCs w:val="21"/>
          <w:lang w:val="en-US" w:eastAsia="zh-CN" w:bidi="ar"/>
        </w:rPr>
        <w:t>隐患，按有关规定执行。</w:t>
      </w:r>
    </w:p>
    <w:p>
      <w:pPr>
        <w:pStyle w:val="21"/>
        <w:rPr>
          <w:rFonts w:hint="eastAsia" w:ascii="宋体" w:hAnsi="Times New Roman" w:eastAsia="宋体" w:cs="Times New Roman"/>
          <w:szCs w:val="22"/>
          <w:lang w:val="en-US" w:eastAsia="zh-CN"/>
        </w:rPr>
      </w:pPr>
      <w:r>
        <w:rPr>
          <w:rFonts w:hint="eastAsia"/>
          <w:lang w:val="en-US" w:eastAsia="zh-CN"/>
        </w:rPr>
        <w:t>隐患治理验收应</w:t>
      </w:r>
      <w:r>
        <w:rPr>
          <w:rFonts w:hint="eastAsia" w:ascii="宋体" w:hAnsi="Times New Roman" w:eastAsia="宋体" w:cs="Times New Roman"/>
          <w:szCs w:val="22"/>
          <w:lang w:val="en-US" w:eastAsia="zh-CN"/>
        </w:rPr>
        <w:t>作为成文信息予以保持和保留。</w:t>
      </w:r>
    </w:p>
    <w:p>
      <w:pPr>
        <w:pStyle w:val="51"/>
        <w:bidi w:val="0"/>
        <w:ind w:left="0" w:leftChars="0" w:firstLine="0" w:firstLineChars="0"/>
        <w:rPr>
          <w:rFonts w:hint="eastAsia" w:hAnsi="Times New Roman" w:cs="Times New Roman"/>
          <w:lang w:val="en-US" w:eastAsia="zh-CN"/>
        </w:rPr>
      </w:pPr>
      <w:bookmarkStart w:id="147" w:name="_Toc17281"/>
      <w:bookmarkStart w:id="148" w:name="_Toc6106"/>
      <w:r>
        <w:rPr>
          <w:rFonts w:hint="eastAsia" w:cs="Times New Roman"/>
          <w:lang w:val="en-US" w:eastAsia="zh-CN"/>
        </w:rPr>
        <w:t>通报与报告</w:t>
      </w:r>
      <w:bookmarkEnd w:id="147"/>
      <w:bookmarkEnd w:id="148"/>
    </w:p>
    <w:p>
      <w:pPr>
        <w:tabs>
          <w:tab w:val="center" w:pos="4201"/>
          <w:tab w:val="right" w:leader="dot" w:pos="9298"/>
        </w:tabs>
        <w:ind w:firstLine="420" w:firstLineChars="200"/>
        <w:jc w:val="left"/>
        <w:rPr>
          <w:rFonts w:hint="eastAsia" w:ascii="宋体" w:hAnsi="宋体" w:cs="宋体"/>
          <w:color w:val="000000"/>
          <w:kern w:val="0"/>
          <w:sz w:val="21"/>
          <w:szCs w:val="21"/>
          <w:lang w:bidi="ar"/>
        </w:rPr>
      </w:pPr>
      <w:r>
        <w:rPr>
          <w:rFonts w:hint="eastAsia" w:ascii="宋体" w:hAnsi="宋体" w:cs="宋体"/>
          <w:color w:val="000000"/>
          <w:kern w:val="0"/>
          <w:sz w:val="21"/>
          <w:szCs w:val="21"/>
          <w:lang w:bidi="ar"/>
        </w:rPr>
        <w:t>企业应如实记录隐患排查治理情况，及时将隐患及排查治理情况向从业人员通报。</w:t>
      </w:r>
    </w:p>
    <w:p>
      <w:pPr>
        <w:tabs>
          <w:tab w:val="center" w:pos="4201"/>
          <w:tab w:val="right" w:leader="dot" w:pos="9298"/>
        </w:tabs>
        <w:ind w:firstLine="420" w:firstLineChars="200"/>
        <w:jc w:val="left"/>
        <w:rPr>
          <w:rFonts w:hint="eastAsia"/>
          <w:lang w:val="en-US" w:eastAsia="zh-CN"/>
        </w:rPr>
      </w:pPr>
      <w:r>
        <w:rPr>
          <w:rFonts w:hint="eastAsia" w:ascii="宋体" w:hAnsi="宋体" w:cs="宋体"/>
          <w:color w:val="000000"/>
          <w:kern w:val="0"/>
          <w:sz w:val="21"/>
          <w:szCs w:val="21"/>
          <w:lang w:bidi="ar"/>
        </w:rPr>
        <w:t>企业应对事故隐患排查治理情况进行管理和统计分析，按有关规定向有关部门报告。</w:t>
      </w:r>
    </w:p>
    <w:p>
      <w:pPr>
        <w:pStyle w:val="94"/>
        <w:rPr>
          <w:rFonts w:hint="eastAsia"/>
          <w:szCs w:val="22"/>
          <w:lang w:val="en-US" w:eastAsia="zh-CN"/>
        </w:rPr>
      </w:pPr>
      <w:bookmarkStart w:id="149" w:name="_Toc30648"/>
      <w:bookmarkStart w:id="150" w:name="_Toc11497"/>
      <w:bookmarkStart w:id="151" w:name="_Toc693"/>
      <w:r>
        <w:rPr>
          <w:rFonts w:hint="eastAsia"/>
          <w:szCs w:val="22"/>
          <w:lang w:val="en-US" w:eastAsia="zh-CN"/>
        </w:rPr>
        <w:t>人力资源管理</w:t>
      </w:r>
      <w:bookmarkEnd w:id="149"/>
      <w:bookmarkEnd w:id="150"/>
      <w:bookmarkEnd w:id="151"/>
    </w:p>
    <w:p>
      <w:pPr>
        <w:pStyle w:val="51"/>
        <w:bidi w:val="0"/>
        <w:ind w:left="0" w:leftChars="0" w:firstLine="0" w:firstLineChars="0"/>
        <w:rPr>
          <w:rFonts w:hint="eastAsia"/>
          <w:lang w:val="en-US" w:eastAsia="zh-CN"/>
        </w:rPr>
      </w:pPr>
      <w:bookmarkStart w:id="152" w:name="_Toc29425"/>
      <w:bookmarkStart w:id="153" w:name="_Toc23484"/>
      <w:bookmarkStart w:id="154" w:name="_Toc14805"/>
      <w:r>
        <w:rPr>
          <w:rFonts w:hint="eastAsia"/>
          <w:lang w:val="en-US" w:eastAsia="zh-CN"/>
        </w:rPr>
        <w:t>领导作用</w:t>
      </w:r>
      <w:bookmarkEnd w:id="152"/>
      <w:bookmarkEnd w:id="153"/>
      <w:bookmarkEnd w:id="154"/>
    </w:p>
    <w:p>
      <w:pPr>
        <w:pStyle w:val="21"/>
        <w:rPr>
          <w:rFonts w:hint="eastAsia"/>
          <w:lang w:val="en-US" w:eastAsia="zh-CN"/>
        </w:rPr>
      </w:pPr>
      <w:r>
        <w:rPr>
          <w:rFonts w:hint="eastAsia"/>
          <w:lang w:val="en-US" w:eastAsia="zh-CN"/>
        </w:rPr>
        <w:t>最高管理者应证实其对安全与风险综合管理体系的领导作用，确保安全与风险综合管理体系适应市场竞争和企业发展的需要：</w:t>
      </w:r>
    </w:p>
    <w:p>
      <w:pPr>
        <w:pStyle w:val="21"/>
        <w:numPr>
          <w:ilvl w:val="0"/>
          <w:numId w:val="39"/>
        </w:numPr>
        <w:ind w:left="420" w:leftChars="0" w:firstLine="0" w:firstLineChars="0"/>
        <w:rPr>
          <w:rFonts w:hint="eastAsia"/>
          <w:szCs w:val="22"/>
          <w:lang w:val="en-US" w:eastAsia="zh-CN"/>
        </w:rPr>
      </w:pPr>
      <w:r>
        <w:rPr>
          <w:rFonts w:hint="eastAsia"/>
          <w:szCs w:val="22"/>
          <w:lang w:val="en-US" w:eastAsia="zh-CN"/>
        </w:rPr>
        <w:t>对安全与风险综合管理体系的有效性负责；</w:t>
      </w:r>
    </w:p>
    <w:p>
      <w:pPr>
        <w:pStyle w:val="21"/>
        <w:numPr>
          <w:ilvl w:val="0"/>
          <w:numId w:val="39"/>
        </w:numPr>
        <w:ind w:left="420" w:leftChars="0" w:firstLine="0" w:firstLineChars="0"/>
        <w:rPr>
          <w:rFonts w:hint="eastAsia"/>
          <w:szCs w:val="22"/>
          <w:lang w:val="en-US" w:eastAsia="zh-CN"/>
        </w:rPr>
      </w:pPr>
      <w:r>
        <w:rPr>
          <w:rFonts w:hint="eastAsia"/>
          <w:szCs w:val="22"/>
          <w:lang w:val="en-US" w:eastAsia="zh-CN"/>
        </w:rPr>
        <w:t>确保建立安全与风险方针和目标指标，并确保其与企业的战略方向及所处的环境相一致；</w:t>
      </w:r>
    </w:p>
    <w:p>
      <w:pPr>
        <w:pStyle w:val="21"/>
        <w:numPr>
          <w:ilvl w:val="0"/>
          <w:numId w:val="39"/>
        </w:numPr>
        <w:ind w:left="420" w:leftChars="0" w:firstLine="0" w:firstLineChars="0"/>
        <w:rPr>
          <w:rFonts w:hint="eastAsia"/>
          <w:szCs w:val="22"/>
          <w:lang w:val="en-US" w:eastAsia="zh-CN"/>
        </w:rPr>
      </w:pPr>
      <w:r>
        <w:rPr>
          <w:rFonts w:hint="eastAsia"/>
          <w:szCs w:val="22"/>
          <w:lang w:val="en-US" w:eastAsia="zh-CN"/>
        </w:rPr>
        <w:t>建立安全与风险综合管理体系的组织机构；</w:t>
      </w:r>
    </w:p>
    <w:p>
      <w:pPr>
        <w:pStyle w:val="21"/>
        <w:numPr>
          <w:ilvl w:val="0"/>
          <w:numId w:val="39"/>
        </w:numPr>
        <w:ind w:left="420" w:leftChars="0" w:firstLine="0" w:firstLineChars="0"/>
        <w:rPr>
          <w:rFonts w:hint="eastAsia"/>
          <w:szCs w:val="22"/>
          <w:lang w:val="en-US" w:eastAsia="zh-CN"/>
        </w:rPr>
      </w:pPr>
      <w:r>
        <w:rPr>
          <w:rFonts w:hint="eastAsia"/>
          <w:szCs w:val="22"/>
          <w:lang w:val="en-US" w:eastAsia="zh-CN"/>
        </w:rPr>
        <w:t>确保将安全与风险综合管理体系要求融入企业的业务过程；</w:t>
      </w:r>
    </w:p>
    <w:p>
      <w:pPr>
        <w:pStyle w:val="21"/>
        <w:numPr>
          <w:ilvl w:val="0"/>
          <w:numId w:val="39"/>
        </w:numPr>
        <w:ind w:left="420" w:leftChars="0" w:firstLine="0" w:firstLineChars="0"/>
        <w:rPr>
          <w:rFonts w:hint="eastAsia"/>
          <w:szCs w:val="22"/>
          <w:lang w:val="en-US" w:eastAsia="zh-CN"/>
        </w:rPr>
      </w:pPr>
      <w:r>
        <w:rPr>
          <w:rFonts w:hint="eastAsia"/>
          <w:szCs w:val="22"/>
          <w:lang w:val="en-US" w:eastAsia="zh-CN"/>
        </w:rPr>
        <w:t>确保可获得安全与风险综合管理体系所需的资源；</w:t>
      </w:r>
    </w:p>
    <w:p>
      <w:pPr>
        <w:pStyle w:val="21"/>
        <w:numPr>
          <w:ilvl w:val="0"/>
          <w:numId w:val="39"/>
        </w:numPr>
        <w:ind w:left="420" w:leftChars="0" w:firstLine="0" w:firstLineChars="0"/>
        <w:rPr>
          <w:rFonts w:hint="eastAsia"/>
          <w:szCs w:val="22"/>
          <w:lang w:val="en-US" w:eastAsia="zh-CN"/>
        </w:rPr>
      </w:pPr>
      <w:r>
        <w:rPr>
          <w:rFonts w:hint="eastAsia"/>
          <w:szCs w:val="22"/>
          <w:lang w:val="en-US" w:eastAsia="zh-CN"/>
        </w:rPr>
        <w:t>促进使用过程方法和基于风险的思维；</w:t>
      </w:r>
    </w:p>
    <w:p>
      <w:pPr>
        <w:pStyle w:val="21"/>
        <w:numPr>
          <w:ilvl w:val="0"/>
          <w:numId w:val="39"/>
        </w:numPr>
        <w:ind w:left="420" w:leftChars="0" w:firstLine="0" w:firstLineChars="0"/>
        <w:rPr>
          <w:rFonts w:hint="eastAsia"/>
          <w:szCs w:val="22"/>
          <w:highlight w:val="none"/>
          <w:lang w:val="en-US" w:eastAsia="zh-CN"/>
        </w:rPr>
      </w:pPr>
      <w:r>
        <w:rPr>
          <w:rFonts w:hint="eastAsia"/>
          <w:szCs w:val="22"/>
          <w:highlight w:val="none"/>
          <w:lang w:val="en-US" w:eastAsia="zh-CN"/>
        </w:rPr>
        <w:t>就符合安全与风险综合管理体系要求的重要性进行沟通；</w:t>
      </w:r>
    </w:p>
    <w:p>
      <w:pPr>
        <w:pStyle w:val="21"/>
        <w:numPr>
          <w:ilvl w:val="0"/>
          <w:numId w:val="39"/>
        </w:numPr>
        <w:ind w:left="420" w:leftChars="0" w:firstLine="0" w:firstLineChars="0"/>
        <w:rPr>
          <w:rFonts w:hint="eastAsia"/>
          <w:szCs w:val="22"/>
          <w:lang w:val="en-US" w:eastAsia="zh-CN"/>
        </w:rPr>
      </w:pPr>
      <w:r>
        <w:rPr>
          <w:rFonts w:hint="eastAsia"/>
          <w:szCs w:val="22"/>
          <w:lang w:val="en-US" w:eastAsia="zh-CN"/>
        </w:rPr>
        <w:t>支持其他相关管理人员在其职责范围内证实其领导作用；</w:t>
      </w:r>
    </w:p>
    <w:p>
      <w:pPr>
        <w:pStyle w:val="21"/>
        <w:numPr>
          <w:ilvl w:val="0"/>
          <w:numId w:val="39"/>
        </w:numPr>
        <w:ind w:left="420" w:leftChars="0" w:firstLine="0" w:firstLineChars="0"/>
        <w:rPr>
          <w:rFonts w:hint="eastAsia"/>
          <w:szCs w:val="22"/>
          <w:lang w:val="en-US" w:eastAsia="zh-CN"/>
        </w:rPr>
      </w:pPr>
      <w:r>
        <w:rPr>
          <w:rFonts w:hint="eastAsia"/>
          <w:szCs w:val="22"/>
          <w:lang w:val="en-US" w:eastAsia="zh-CN"/>
        </w:rPr>
        <w:t>指导并支持员工对安全与风险综合管理体系的有效性作出贡献；</w:t>
      </w:r>
    </w:p>
    <w:p>
      <w:pPr>
        <w:pStyle w:val="21"/>
        <w:numPr>
          <w:ilvl w:val="0"/>
          <w:numId w:val="39"/>
        </w:numPr>
        <w:ind w:left="420" w:leftChars="0" w:firstLine="0" w:firstLineChars="0"/>
        <w:rPr>
          <w:rFonts w:hint="eastAsia"/>
          <w:szCs w:val="22"/>
          <w:lang w:val="en-US" w:eastAsia="zh-CN"/>
        </w:rPr>
      </w:pPr>
      <w:r>
        <w:rPr>
          <w:rFonts w:hint="eastAsia"/>
          <w:szCs w:val="22"/>
          <w:lang w:val="en-US" w:eastAsia="zh-CN"/>
        </w:rPr>
        <w:t>实施、评价并持续改进安全与风险综合管理体系；</w:t>
      </w:r>
    </w:p>
    <w:p>
      <w:pPr>
        <w:pStyle w:val="21"/>
        <w:numPr>
          <w:ilvl w:val="0"/>
          <w:numId w:val="39"/>
        </w:numPr>
        <w:ind w:left="420" w:leftChars="0" w:firstLine="0" w:firstLineChars="0"/>
        <w:rPr>
          <w:rFonts w:hint="default"/>
          <w:szCs w:val="22"/>
          <w:lang w:val="en-US" w:eastAsia="zh-CN"/>
        </w:rPr>
      </w:pPr>
      <w:r>
        <w:rPr>
          <w:rFonts w:hint="eastAsia"/>
          <w:szCs w:val="22"/>
          <w:lang w:val="en-US" w:eastAsia="zh-CN"/>
        </w:rPr>
        <w:t>确保安全与风险综合管理体系实现其预期结果。</w:t>
      </w:r>
    </w:p>
    <w:p>
      <w:pPr>
        <w:pStyle w:val="51"/>
        <w:bidi w:val="0"/>
        <w:ind w:left="0" w:leftChars="0" w:firstLine="0" w:firstLineChars="0"/>
        <w:rPr>
          <w:rFonts w:hint="eastAsia"/>
          <w:lang w:val="en-US" w:eastAsia="zh-CN"/>
        </w:rPr>
      </w:pPr>
      <w:bookmarkStart w:id="155" w:name="_Toc7386"/>
      <w:bookmarkStart w:id="156" w:name="_Toc23864"/>
      <w:bookmarkStart w:id="157" w:name="_Toc19968"/>
      <w:r>
        <w:rPr>
          <w:rFonts w:hint="eastAsia"/>
          <w:lang w:val="en-US" w:eastAsia="zh-CN"/>
        </w:rPr>
        <w:t>安全承诺</w:t>
      </w:r>
      <w:bookmarkEnd w:id="155"/>
      <w:bookmarkEnd w:id="156"/>
      <w:bookmarkEnd w:id="157"/>
    </w:p>
    <w:p>
      <w:pPr>
        <w:pStyle w:val="21"/>
        <w:rPr>
          <w:rFonts w:hint="eastAsia"/>
          <w:lang w:val="en-US" w:eastAsia="zh-CN"/>
        </w:rPr>
      </w:pPr>
      <w:r>
        <w:rPr>
          <w:rFonts w:hint="eastAsia"/>
          <w:lang w:val="en-US" w:eastAsia="zh-CN"/>
        </w:rPr>
        <w:t>企业应建立包括安全价值观、安全愿景、安全使命和安全目标等在内的安全承诺。</w:t>
      </w:r>
    </w:p>
    <w:p>
      <w:pPr>
        <w:pStyle w:val="21"/>
        <w:rPr>
          <w:rFonts w:hint="eastAsia"/>
          <w:lang w:val="en-US" w:eastAsia="zh-CN"/>
        </w:rPr>
      </w:pPr>
      <w:r>
        <w:rPr>
          <w:rFonts w:hint="eastAsia"/>
          <w:lang w:val="en-US" w:eastAsia="zh-CN"/>
        </w:rPr>
        <w:t>安全承诺应：</w:t>
      </w:r>
    </w:p>
    <w:p>
      <w:pPr>
        <w:pStyle w:val="21"/>
        <w:numPr>
          <w:ilvl w:val="0"/>
          <w:numId w:val="40"/>
        </w:numPr>
        <w:ind w:left="420" w:leftChars="0" w:firstLine="0" w:firstLineChars="0"/>
        <w:rPr>
          <w:rFonts w:hint="eastAsia"/>
          <w:szCs w:val="22"/>
          <w:lang w:val="en-US" w:eastAsia="zh-CN"/>
        </w:rPr>
      </w:pPr>
      <w:r>
        <w:rPr>
          <w:rFonts w:hint="eastAsia"/>
          <w:szCs w:val="22"/>
          <w:lang w:val="en-US" w:eastAsia="zh-CN"/>
        </w:rPr>
        <w:t>切合企业特点和实际，反映共同安全志向；</w:t>
      </w:r>
    </w:p>
    <w:p>
      <w:pPr>
        <w:pStyle w:val="21"/>
        <w:numPr>
          <w:ilvl w:val="0"/>
          <w:numId w:val="40"/>
        </w:numPr>
        <w:ind w:left="420" w:leftChars="0" w:firstLine="0" w:firstLineChars="0"/>
        <w:rPr>
          <w:rFonts w:hint="eastAsia"/>
          <w:szCs w:val="22"/>
          <w:lang w:val="en-US" w:eastAsia="zh-CN"/>
        </w:rPr>
      </w:pPr>
      <w:r>
        <w:rPr>
          <w:rFonts w:hint="eastAsia"/>
          <w:szCs w:val="22"/>
          <w:lang w:val="en-US" w:eastAsia="zh-CN"/>
        </w:rPr>
        <w:t>明确安全问题在公司内部具有最高优先权；</w:t>
      </w:r>
    </w:p>
    <w:p>
      <w:pPr>
        <w:pStyle w:val="21"/>
        <w:numPr>
          <w:ilvl w:val="0"/>
          <w:numId w:val="40"/>
        </w:numPr>
        <w:ind w:left="420" w:leftChars="0" w:firstLine="0" w:firstLineChars="0"/>
        <w:rPr>
          <w:rFonts w:hint="eastAsia"/>
          <w:szCs w:val="22"/>
          <w:lang w:val="en-US" w:eastAsia="zh-CN"/>
        </w:rPr>
      </w:pPr>
      <w:r>
        <w:rPr>
          <w:rFonts w:hint="eastAsia"/>
          <w:szCs w:val="22"/>
          <w:lang w:val="en-US" w:eastAsia="zh-CN"/>
        </w:rPr>
        <w:t>声明所有与企业安全有关的重要活动都追求卓越；</w:t>
      </w:r>
    </w:p>
    <w:p>
      <w:pPr>
        <w:pStyle w:val="21"/>
        <w:numPr>
          <w:ilvl w:val="0"/>
          <w:numId w:val="40"/>
        </w:numPr>
        <w:ind w:left="420" w:leftChars="0" w:firstLine="0" w:firstLineChars="0"/>
        <w:rPr>
          <w:rFonts w:hint="eastAsia"/>
          <w:szCs w:val="22"/>
          <w:lang w:val="en-US" w:eastAsia="zh-CN"/>
        </w:rPr>
      </w:pPr>
      <w:r>
        <w:rPr>
          <w:rFonts w:hint="eastAsia"/>
          <w:szCs w:val="22"/>
          <w:lang w:val="en-US" w:eastAsia="zh-CN"/>
        </w:rPr>
        <w:t>含义清晰明了，并被全体员工和相关方所知晓和理解。</w:t>
      </w:r>
    </w:p>
    <w:p>
      <w:pPr>
        <w:pStyle w:val="21"/>
        <w:numPr>
          <w:ilvl w:val="0"/>
          <w:numId w:val="0"/>
        </w:numPr>
        <w:ind w:firstLine="420" w:firstLineChars="200"/>
        <w:rPr>
          <w:rFonts w:hint="eastAsia"/>
          <w:szCs w:val="22"/>
          <w:lang w:val="en-US" w:eastAsia="zh-CN"/>
        </w:rPr>
      </w:pPr>
      <w:r>
        <w:rPr>
          <w:rFonts w:hint="eastAsia"/>
          <w:lang w:val="en-US" w:eastAsia="zh-CN"/>
        </w:rPr>
        <w:t>领导者应对安全承诺做出有形的表率，并让各级管理者和员工切身感受到领导者对安全承诺的实践。</w:t>
      </w:r>
    </w:p>
    <w:p>
      <w:pPr>
        <w:pStyle w:val="21"/>
        <w:numPr>
          <w:ilvl w:val="0"/>
          <w:numId w:val="0"/>
        </w:numPr>
        <w:ind w:firstLine="420" w:firstLineChars="200"/>
        <w:rPr>
          <w:rFonts w:hint="eastAsia"/>
          <w:szCs w:val="22"/>
          <w:lang w:val="en-US" w:eastAsia="zh-CN"/>
        </w:rPr>
      </w:pPr>
      <w:r>
        <w:rPr>
          <w:rFonts w:hint="eastAsia"/>
          <w:lang w:val="en-US" w:eastAsia="zh-CN"/>
        </w:rPr>
        <w:t>各级管理者应对安全承诺的实施起到示范和推进作用，形成严谨的制度化工作方法，营造有益于安全的工作氛围，培育重视安全的工作态度。</w:t>
      </w:r>
    </w:p>
    <w:p>
      <w:pPr>
        <w:pStyle w:val="21"/>
        <w:numPr>
          <w:ilvl w:val="0"/>
          <w:numId w:val="0"/>
        </w:numPr>
        <w:ind w:left="420" w:leftChars="0"/>
        <w:rPr>
          <w:rFonts w:hint="eastAsia"/>
          <w:szCs w:val="22"/>
          <w:lang w:val="en-US" w:eastAsia="zh-CN"/>
        </w:rPr>
      </w:pPr>
      <w:r>
        <w:rPr>
          <w:rFonts w:hint="eastAsia"/>
          <w:lang w:val="en-US" w:eastAsia="zh-CN"/>
        </w:rPr>
        <w:t>员工应充分理解和接受企业的安全承诺，并结合岗位工作任务实践安全承诺。</w:t>
      </w:r>
    </w:p>
    <w:p>
      <w:pPr>
        <w:pStyle w:val="21"/>
        <w:rPr>
          <w:rFonts w:hint="eastAsia"/>
          <w:lang w:val="en-US" w:eastAsia="zh-CN"/>
        </w:rPr>
      </w:pPr>
      <w:r>
        <w:rPr>
          <w:rFonts w:hint="eastAsia"/>
          <w:lang w:val="en-US" w:eastAsia="zh-CN"/>
        </w:rPr>
        <w:t>企业应将自己的安全承诺传达到相关方。必要时应要求供应商、承包商等相关方提供相应的安全承诺。</w:t>
      </w:r>
    </w:p>
    <w:p>
      <w:pPr>
        <w:pStyle w:val="51"/>
        <w:bidi w:val="0"/>
        <w:ind w:left="0" w:leftChars="0" w:firstLine="0" w:firstLineChars="0"/>
        <w:rPr>
          <w:rFonts w:hint="default"/>
          <w:lang w:val="en-US" w:eastAsia="zh-CN"/>
        </w:rPr>
      </w:pPr>
      <w:bookmarkStart w:id="158" w:name="_Toc25303"/>
      <w:bookmarkStart w:id="159" w:name="_Toc18767"/>
      <w:r>
        <w:rPr>
          <w:rFonts w:hint="eastAsia"/>
          <w:lang w:val="en-US" w:eastAsia="zh-CN"/>
        </w:rPr>
        <w:t>机构设置</w:t>
      </w:r>
      <w:bookmarkEnd w:id="158"/>
      <w:bookmarkEnd w:id="159"/>
    </w:p>
    <w:p>
      <w:pPr>
        <w:pStyle w:val="21"/>
        <w:rPr>
          <w:rFonts w:hint="eastAsia"/>
          <w:szCs w:val="22"/>
          <w:lang w:val="en-US" w:eastAsia="zh-CN"/>
        </w:rPr>
      </w:pPr>
      <w:r>
        <w:rPr>
          <w:rFonts w:hint="eastAsia"/>
          <w:szCs w:val="22"/>
          <w:lang w:val="en-US" w:eastAsia="zh-CN"/>
        </w:rPr>
        <w:t>企业应依据法律法规要求、风险评估结果对机构设置进行需求识别。</w:t>
      </w:r>
    </w:p>
    <w:p>
      <w:pPr>
        <w:pStyle w:val="21"/>
        <w:rPr>
          <w:rFonts w:hint="eastAsia"/>
          <w:szCs w:val="22"/>
          <w:lang w:val="en-US" w:eastAsia="zh-CN"/>
        </w:rPr>
      </w:pPr>
      <w:r>
        <w:rPr>
          <w:rFonts w:hint="eastAsia"/>
          <w:szCs w:val="22"/>
          <w:lang w:val="en-US" w:eastAsia="zh-CN"/>
        </w:rPr>
        <w:t>企业应根据法律法规的要求配置相关管理机构，包括但不限于以下：</w:t>
      </w:r>
    </w:p>
    <w:p>
      <w:pPr>
        <w:pStyle w:val="21"/>
        <w:numPr>
          <w:ilvl w:val="0"/>
          <w:numId w:val="41"/>
        </w:numPr>
        <w:ind w:left="420" w:leftChars="0" w:firstLine="0" w:firstLineChars="0"/>
        <w:rPr>
          <w:rFonts w:hint="eastAsia"/>
          <w:szCs w:val="22"/>
          <w:lang w:val="en-US" w:eastAsia="zh-CN"/>
        </w:rPr>
      </w:pPr>
      <w:r>
        <w:rPr>
          <w:rFonts w:hint="eastAsia"/>
          <w:szCs w:val="22"/>
          <w:lang w:val="en-US" w:eastAsia="zh-CN"/>
        </w:rPr>
        <w:t xml:space="preserve">安全、质量、职业健康、环境保护、应急与合规等管理机构； </w:t>
      </w:r>
    </w:p>
    <w:p>
      <w:pPr>
        <w:pStyle w:val="21"/>
        <w:numPr>
          <w:ilvl w:val="0"/>
          <w:numId w:val="41"/>
        </w:numPr>
        <w:ind w:left="420" w:leftChars="0" w:firstLine="0" w:firstLineChars="0"/>
        <w:rPr>
          <w:rFonts w:hint="eastAsia"/>
          <w:szCs w:val="22"/>
          <w:lang w:val="en-US" w:eastAsia="zh-CN"/>
        </w:rPr>
      </w:pPr>
      <w:r>
        <w:rPr>
          <w:rFonts w:hint="eastAsia"/>
          <w:szCs w:val="22"/>
          <w:lang w:val="en-US" w:eastAsia="zh-CN"/>
        </w:rPr>
        <w:t xml:space="preserve">安全生产监督管理网络； </w:t>
      </w:r>
    </w:p>
    <w:p>
      <w:pPr>
        <w:pStyle w:val="21"/>
        <w:numPr>
          <w:ilvl w:val="0"/>
          <w:numId w:val="41"/>
        </w:numPr>
        <w:ind w:left="420" w:leftChars="0" w:firstLine="0" w:firstLineChars="0"/>
        <w:rPr>
          <w:rFonts w:hint="eastAsia"/>
          <w:szCs w:val="22"/>
          <w:lang w:val="en-US" w:eastAsia="zh-CN"/>
        </w:rPr>
      </w:pPr>
      <w:r>
        <w:rPr>
          <w:rFonts w:hint="eastAsia"/>
          <w:szCs w:val="22"/>
          <w:lang w:val="en-US" w:eastAsia="zh-CN"/>
        </w:rPr>
        <w:t xml:space="preserve">技术监督网络。 </w:t>
      </w:r>
    </w:p>
    <w:p>
      <w:pPr>
        <w:pStyle w:val="21"/>
        <w:rPr>
          <w:rFonts w:hint="eastAsia"/>
          <w:szCs w:val="22"/>
          <w:lang w:val="en-US" w:eastAsia="zh-CN"/>
        </w:rPr>
      </w:pPr>
      <w:r>
        <w:rPr>
          <w:rFonts w:hint="eastAsia"/>
          <w:szCs w:val="22"/>
          <w:lang w:val="en-US" w:eastAsia="zh-CN"/>
        </w:rPr>
        <w:t>企业应明确常设机构、临时机构的建立流程与职责及机构成员应具备的能力与要求。</w:t>
      </w:r>
    </w:p>
    <w:p>
      <w:pPr>
        <w:pStyle w:val="21"/>
        <w:rPr>
          <w:rFonts w:hint="eastAsia"/>
          <w:szCs w:val="22"/>
          <w:lang w:val="en-US" w:eastAsia="zh-CN"/>
        </w:rPr>
      </w:pPr>
      <w:r>
        <w:rPr>
          <w:rFonts w:hint="eastAsia"/>
          <w:szCs w:val="22"/>
          <w:lang w:val="en-US" w:eastAsia="zh-CN"/>
        </w:rPr>
        <w:t>企业应明确对机构履职的监管要求，定期/不定期评估机构的履职情况，将结果纳入考核。</w:t>
      </w:r>
    </w:p>
    <w:p>
      <w:pPr>
        <w:pStyle w:val="51"/>
        <w:bidi w:val="0"/>
        <w:ind w:left="0" w:leftChars="0" w:firstLine="0" w:firstLineChars="0"/>
        <w:rPr>
          <w:rFonts w:hint="default"/>
          <w:lang w:val="en-US" w:eastAsia="zh-CN"/>
        </w:rPr>
      </w:pPr>
      <w:bookmarkStart w:id="160" w:name="_Toc9273"/>
      <w:bookmarkStart w:id="161" w:name="_Toc17001"/>
      <w:r>
        <w:rPr>
          <w:rFonts w:hint="eastAsia"/>
          <w:lang w:val="en-US" w:eastAsia="zh-CN"/>
        </w:rPr>
        <w:t>人员配备</w:t>
      </w:r>
      <w:bookmarkEnd w:id="160"/>
      <w:bookmarkEnd w:id="161"/>
    </w:p>
    <w:p>
      <w:pPr>
        <w:pStyle w:val="21"/>
        <w:rPr>
          <w:rFonts w:hint="eastAsia"/>
          <w:lang w:val="en-US" w:eastAsia="zh-CN"/>
        </w:rPr>
      </w:pPr>
      <w:r>
        <w:rPr>
          <w:rFonts w:hint="eastAsia"/>
          <w:lang w:val="en-US" w:eastAsia="zh-CN"/>
        </w:rPr>
        <w:t>企业应以成文信息的形式明确与安全、风险管理岗位相适应的人员能力要求，其要求包括但不限于以下：</w:t>
      </w:r>
    </w:p>
    <w:p>
      <w:pPr>
        <w:pStyle w:val="21"/>
        <w:numPr>
          <w:ilvl w:val="0"/>
          <w:numId w:val="42"/>
        </w:numPr>
        <w:ind w:left="420" w:leftChars="0" w:firstLine="0" w:firstLineChars="0"/>
        <w:rPr>
          <w:rFonts w:hint="eastAsia"/>
          <w:szCs w:val="22"/>
          <w:lang w:val="en-US" w:eastAsia="zh-CN"/>
        </w:rPr>
      </w:pPr>
      <w:r>
        <w:rPr>
          <w:rFonts w:hint="eastAsia"/>
          <w:szCs w:val="22"/>
          <w:lang w:val="en-US" w:eastAsia="zh-CN"/>
        </w:rPr>
        <w:t>教育程度；</w:t>
      </w:r>
    </w:p>
    <w:p>
      <w:pPr>
        <w:pStyle w:val="21"/>
        <w:numPr>
          <w:ilvl w:val="0"/>
          <w:numId w:val="42"/>
        </w:numPr>
        <w:ind w:left="420" w:leftChars="0" w:firstLine="0" w:firstLineChars="0"/>
        <w:rPr>
          <w:rFonts w:hint="eastAsia"/>
          <w:szCs w:val="22"/>
          <w:lang w:val="en-US" w:eastAsia="zh-CN"/>
        </w:rPr>
      </w:pPr>
      <w:r>
        <w:rPr>
          <w:rFonts w:hint="eastAsia"/>
          <w:szCs w:val="22"/>
          <w:lang w:val="en-US" w:eastAsia="zh-CN"/>
        </w:rPr>
        <w:t>工作经验；</w:t>
      </w:r>
    </w:p>
    <w:p>
      <w:pPr>
        <w:pStyle w:val="21"/>
        <w:numPr>
          <w:ilvl w:val="0"/>
          <w:numId w:val="42"/>
        </w:numPr>
        <w:ind w:left="420" w:leftChars="0" w:firstLine="0" w:firstLineChars="0"/>
        <w:rPr>
          <w:rFonts w:hint="eastAsia"/>
          <w:szCs w:val="22"/>
          <w:lang w:val="en-US" w:eastAsia="zh-CN"/>
        </w:rPr>
      </w:pPr>
      <w:r>
        <w:rPr>
          <w:rFonts w:hint="eastAsia"/>
          <w:szCs w:val="22"/>
          <w:lang w:val="en-US" w:eastAsia="zh-CN"/>
        </w:rPr>
        <w:t>培训规定；</w:t>
      </w:r>
    </w:p>
    <w:p>
      <w:pPr>
        <w:pStyle w:val="21"/>
        <w:numPr>
          <w:ilvl w:val="0"/>
          <w:numId w:val="42"/>
        </w:numPr>
        <w:ind w:left="420" w:leftChars="0" w:firstLine="0" w:firstLineChars="0"/>
        <w:rPr>
          <w:rFonts w:hint="default"/>
          <w:szCs w:val="22"/>
          <w:lang w:val="en-US" w:eastAsia="zh-CN"/>
        </w:rPr>
      </w:pPr>
      <w:r>
        <w:rPr>
          <w:rFonts w:hint="eastAsia"/>
          <w:szCs w:val="22"/>
          <w:lang w:val="en-US" w:eastAsia="zh-CN"/>
        </w:rPr>
        <w:t>任职资格。</w:t>
      </w:r>
    </w:p>
    <w:p>
      <w:pPr>
        <w:pStyle w:val="21"/>
        <w:numPr>
          <w:ilvl w:val="0"/>
          <w:numId w:val="0"/>
        </w:numPr>
        <w:ind w:firstLine="420" w:firstLineChars="200"/>
        <w:rPr>
          <w:rFonts w:hint="eastAsia"/>
          <w:szCs w:val="22"/>
          <w:lang w:val="en-US" w:eastAsia="zh-CN"/>
        </w:rPr>
      </w:pPr>
      <w:r>
        <w:rPr>
          <w:rFonts w:hint="eastAsia"/>
          <w:szCs w:val="22"/>
          <w:lang w:val="en-US" w:eastAsia="zh-CN"/>
        </w:rPr>
        <w:t>各层次管理者应使与安全、风险有关的人员意识到：安全与风险方针和目标指标的重要性，对安全与风险综合管理体系有效性的贡献，偏离安全与风险综合管理体系要求的后果。</w:t>
      </w:r>
    </w:p>
    <w:p>
      <w:pPr>
        <w:pStyle w:val="21"/>
        <w:numPr>
          <w:ilvl w:val="0"/>
          <w:numId w:val="0"/>
        </w:numPr>
        <w:ind w:firstLine="420" w:firstLineChars="200"/>
        <w:rPr>
          <w:rFonts w:hint="default"/>
          <w:szCs w:val="22"/>
          <w:lang w:val="en-US" w:eastAsia="zh-CN"/>
        </w:rPr>
      </w:pPr>
      <w:r>
        <w:rPr>
          <w:rFonts w:hint="eastAsia"/>
          <w:szCs w:val="22"/>
          <w:lang w:val="en-US" w:eastAsia="zh-CN"/>
        </w:rPr>
        <w:t>企业应建立员工考核制度，规定考核内容、标准、方式、频次，并将考核结果作为人力资源管理评价和安全与风险综合管理体系改进的依据。</w:t>
      </w:r>
    </w:p>
    <w:p>
      <w:pPr>
        <w:pStyle w:val="51"/>
        <w:bidi w:val="0"/>
        <w:ind w:left="0" w:leftChars="0" w:firstLine="0" w:firstLineChars="0"/>
        <w:rPr>
          <w:rFonts w:hint="default"/>
          <w:lang w:val="en-US" w:eastAsia="zh-CN"/>
        </w:rPr>
      </w:pPr>
      <w:bookmarkStart w:id="162" w:name="_Toc4121"/>
      <w:bookmarkStart w:id="163" w:name="_Toc2326"/>
      <w:bookmarkStart w:id="164" w:name="_Toc22788"/>
      <w:bookmarkStart w:id="165" w:name="_Toc27774"/>
      <w:r>
        <w:rPr>
          <w:rFonts w:hint="default"/>
          <w:lang w:val="en-US" w:eastAsia="zh-CN"/>
        </w:rPr>
        <w:t>职责权限</w:t>
      </w:r>
      <w:bookmarkEnd w:id="162"/>
      <w:bookmarkEnd w:id="163"/>
      <w:bookmarkEnd w:id="164"/>
    </w:p>
    <w:p>
      <w:pPr>
        <w:pStyle w:val="21"/>
        <w:rPr>
          <w:rFonts w:hint="eastAsia"/>
          <w:lang w:val="en-US" w:eastAsia="zh-CN"/>
        </w:rPr>
      </w:pPr>
      <w:r>
        <w:rPr>
          <w:rFonts w:hint="eastAsia"/>
          <w:lang w:val="en-US" w:eastAsia="zh-CN"/>
        </w:rPr>
        <w:t>最高管理者应确保在企业内部分配并沟通相关角色的职责和权限。</w:t>
      </w:r>
    </w:p>
    <w:p>
      <w:pPr>
        <w:pStyle w:val="21"/>
        <w:rPr>
          <w:rFonts w:hint="eastAsia"/>
          <w:lang w:val="en-US" w:eastAsia="zh-CN"/>
        </w:rPr>
      </w:pPr>
      <w:r>
        <w:rPr>
          <w:rFonts w:hint="eastAsia"/>
          <w:lang w:val="en-US" w:eastAsia="zh-CN"/>
        </w:rPr>
        <w:t>最高管理者应对下列事项分配职责和权限：</w:t>
      </w:r>
    </w:p>
    <w:p>
      <w:pPr>
        <w:pStyle w:val="21"/>
        <w:numPr>
          <w:ilvl w:val="0"/>
          <w:numId w:val="43"/>
        </w:numPr>
        <w:ind w:left="420" w:leftChars="0" w:firstLine="0" w:firstLineChars="0"/>
        <w:rPr>
          <w:rFonts w:hint="eastAsia"/>
          <w:szCs w:val="22"/>
          <w:lang w:val="en-US" w:eastAsia="zh-CN"/>
        </w:rPr>
      </w:pPr>
      <w:r>
        <w:rPr>
          <w:rFonts w:hint="eastAsia"/>
          <w:szCs w:val="22"/>
          <w:lang w:val="en-US" w:eastAsia="zh-CN"/>
        </w:rPr>
        <w:t>确保安全与风险综合管理体系符合本标准的要求；</w:t>
      </w:r>
    </w:p>
    <w:p>
      <w:pPr>
        <w:pStyle w:val="21"/>
        <w:numPr>
          <w:ilvl w:val="0"/>
          <w:numId w:val="43"/>
        </w:numPr>
        <w:ind w:left="420" w:leftChars="0" w:firstLine="0" w:firstLineChars="0"/>
        <w:rPr>
          <w:rFonts w:hint="default"/>
          <w:szCs w:val="22"/>
          <w:lang w:val="en-US" w:eastAsia="zh-CN"/>
        </w:rPr>
      </w:pPr>
      <w:r>
        <w:rPr>
          <w:rFonts w:hint="eastAsia"/>
          <w:szCs w:val="22"/>
          <w:lang w:val="en-US" w:eastAsia="zh-CN"/>
        </w:rPr>
        <w:t>向最高管理者报告安全与风险综合管理体系的绩效，包括安全绩效与风险管控成果。</w:t>
      </w:r>
    </w:p>
    <w:p>
      <w:pPr>
        <w:pStyle w:val="51"/>
        <w:bidi w:val="0"/>
        <w:ind w:left="0" w:leftChars="0" w:firstLine="0" w:firstLineChars="0"/>
        <w:rPr>
          <w:rFonts w:hint="default"/>
          <w:lang w:val="en-US" w:eastAsia="zh-CN"/>
        </w:rPr>
      </w:pPr>
      <w:bookmarkStart w:id="166" w:name="_Toc6420"/>
      <w:bookmarkStart w:id="167" w:name="_Toc22380"/>
      <w:r>
        <w:rPr>
          <w:rFonts w:hint="default"/>
          <w:lang w:val="en-US" w:eastAsia="zh-CN"/>
        </w:rPr>
        <w:t>能力</w:t>
      </w:r>
      <w:bookmarkEnd w:id="165"/>
      <w:r>
        <w:rPr>
          <w:rFonts w:hint="eastAsia"/>
          <w:lang w:val="en-US" w:eastAsia="zh-CN"/>
        </w:rPr>
        <w:t>意识</w:t>
      </w:r>
      <w:bookmarkEnd w:id="166"/>
      <w:bookmarkEnd w:id="167"/>
    </w:p>
    <w:p>
      <w:pPr>
        <w:pStyle w:val="51"/>
        <w:numPr>
          <w:ilvl w:val="1"/>
          <w:numId w:val="0"/>
        </w:numPr>
        <w:bidi w:val="0"/>
        <w:ind w:leftChars="0"/>
        <w:rPr>
          <w:rFonts w:hint="eastAsia"/>
          <w:lang w:val="en-US" w:eastAsia="zh-CN"/>
        </w:rPr>
      </w:pPr>
      <w:bookmarkStart w:id="168" w:name="_Toc28213"/>
      <w:bookmarkStart w:id="169" w:name="_Toc12029"/>
      <w:bookmarkStart w:id="170" w:name="_Toc14396"/>
      <w:r>
        <w:rPr>
          <w:rFonts w:hint="eastAsia"/>
          <w:lang w:val="en-US" w:eastAsia="zh-CN"/>
        </w:rPr>
        <w:t>7.6.1能力</w:t>
      </w:r>
      <w:bookmarkEnd w:id="168"/>
      <w:bookmarkEnd w:id="169"/>
      <w:bookmarkEnd w:id="170"/>
    </w:p>
    <w:p>
      <w:pPr>
        <w:pStyle w:val="21"/>
        <w:rPr>
          <w:rFonts w:hint="eastAsia"/>
          <w:lang w:val="en-US" w:eastAsia="zh-CN"/>
        </w:rPr>
      </w:pPr>
      <w:r>
        <w:rPr>
          <w:rFonts w:hint="eastAsia"/>
          <w:lang w:val="en-US" w:eastAsia="zh-CN"/>
        </w:rPr>
        <w:t>企业应提升员工安全生产风险知识和技能，使其胜任工作。</w:t>
      </w:r>
    </w:p>
    <w:p>
      <w:pPr>
        <w:pStyle w:val="21"/>
        <w:rPr>
          <w:rFonts w:hint="eastAsia"/>
          <w:lang w:val="en-US" w:eastAsia="zh-CN"/>
        </w:rPr>
      </w:pPr>
      <w:r>
        <w:rPr>
          <w:rFonts w:hint="eastAsia"/>
          <w:lang w:val="en-US" w:eastAsia="zh-CN"/>
        </w:rPr>
        <w:t>企业应：</w:t>
      </w:r>
    </w:p>
    <w:p>
      <w:pPr>
        <w:pStyle w:val="21"/>
        <w:numPr>
          <w:ilvl w:val="0"/>
          <w:numId w:val="44"/>
        </w:numPr>
        <w:ind w:left="420" w:leftChars="0" w:firstLine="0" w:firstLineChars="0"/>
        <w:rPr>
          <w:rFonts w:hint="eastAsia"/>
          <w:szCs w:val="22"/>
          <w:lang w:val="en-US" w:eastAsia="zh-CN"/>
        </w:rPr>
      </w:pPr>
      <w:r>
        <w:rPr>
          <w:rFonts w:hint="eastAsia"/>
          <w:szCs w:val="22"/>
          <w:lang w:val="en-US" w:eastAsia="zh-CN"/>
        </w:rPr>
        <w:t>确定在其控制下工作的人员所需具备的能力，这些人员从事的工作影响安全与风险综合管理体系绩效和有效性；</w:t>
      </w:r>
    </w:p>
    <w:p>
      <w:pPr>
        <w:pStyle w:val="21"/>
        <w:numPr>
          <w:ilvl w:val="0"/>
          <w:numId w:val="44"/>
        </w:numPr>
        <w:ind w:left="420" w:leftChars="0" w:firstLine="0" w:firstLineChars="0"/>
        <w:rPr>
          <w:rFonts w:hint="eastAsia"/>
          <w:szCs w:val="22"/>
          <w:lang w:val="en-US" w:eastAsia="zh-CN"/>
        </w:rPr>
      </w:pPr>
      <w:r>
        <w:rPr>
          <w:rFonts w:hint="eastAsia"/>
          <w:szCs w:val="22"/>
          <w:lang w:val="en-US" w:eastAsia="zh-CN"/>
        </w:rPr>
        <w:t>基于适当的教育、培训或经验，确保这些人员是胜任的；</w:t>
      </w:r>
    </w:p>
    <w:p>
      <w:pPr>
        <w:pStyle w:val="21"/>
        <w:numPr>
          <w:ilvl w:val="0"/>
          <w:numId w:val="44"/>
        </w:numPr>
        <w:ind w:left="420" w:leftChars="0" w:firstLine="0" w:firstLineChars="0"/>
        <w:rPr>
          <w:rFonts w:hint="eastAsia"/>
          <w:szCs w:val="22"/>
          <w:lang w:val="en-US" w:eastAsia="zh-CN"/>
        </w:rPr>
      </w:pPr>
      <w:r>
        <w:rPr>
          <w:rFonts w:hint="eastAsia"/>
          <w:szCs w:val="22"/>
          <w:lang w:val="en-US" w:eastAsia="zh-CN"/>
        </w:rPr>
        <w:t>适用时，采取措施以获得所需的能力，并评价措施的有效性；</w:t>
      </w:r>
    </w:p>
    <w:p>
      <w:pPr>
        <w:pStyle w:val="21"/>
        <w:numPr>
          <w:ilvl w:val="0"/>
          <w:numId w:val="44"/>
        </w:numPr>
        <w:ind w:left="420" w:leftChars="0" w:firstLine="0" w:firstLineChars="0"/>
        <w:rPr>
          <w:rFonts w:hint="eastAsia"/>
          <w:szCs w:val="22"/>
          <w:lang w:val="en-US" w:eastAsia="zh-CN"/>
        </w:rPr>
      </w:pPr>
      <w:r>
        <w:rPr>
          <w:rFonts w:hint="eastAsia"/>
          <w:szCs w:val="22"/>
          <w:lang w:val="en-US" w:eastAsia="zh-CN"/>
        </w:rPr>
        <w:t>保留适当的成文信息，作为人员能力的证据。</w:t>
      </w:r>
    </w:p>
    <w:p>
      <w:pPr>
        <w:pStyle w:val="21"/>
        <w:rPr>
          <w:rFonts w:hint="default"/>
          <w:lang w:val="en-US" w:eastAsia="zh-CN"/>
        </w:rPr>
      </w:pPr>
      <w:r>
        <w:rPr>
          <w:rFonts w:hint="eastAsia"/>
          <w:lang w:val="en-US" w:eastAsia="zh-CN"/>
        </w:rPr>
        <w:t>注：适用措施可包括对在职人员进行培训、辅导或重新分配工作，或者聘用、外包胜任的人员。</w:t>
      </w:r>
    </w:p>
    <w:p>
      <w:pPr>
        <w:pStyle w:val="51"/>
        <w:numPr>
          <w:ilvl w:val="1"/>
          <w:numId w:val="0"/>
        </w:numPr>
        <w:bidi w:val="0"/>
        <w:ind w:leftChars="0"/>
        <w:rPr>
          <w:rFonts w:hint="eastAsia"/>
          <w:lang w:val="en-US" w:eastAsia="zh-CN"/>
        </w:rPr>
      </w:pPr>
      <w:bookmarkStart w:id="171" w:name="_Toc28002"/>
      <w:bookmarkStart w:id="172" w:name="_Toc8903"/>
      <w:bookmarkStart w:id="173" w:name="_Toc9117"/>
      <w:r>
        <w:rPr>
          <w:rFonts w:hint="eastAsia"/>
          <w:lang w:val="en-US" w:eastAsia="zh-CN"/>
        </w:rPr>
        <w:t>7.6.2意识</w:t>
      </w:r>
      <w:bookmarkEnd w:id="171"/>
      <w:bookmarkEnd w:id="172"/>
      <w:bookmarkEnd w:id="173"/>
    </w:p>
    <w:p>
      <w:pPr>
        <w:pStyle w:val="21"/>
        <w:rPr>
          <w:rFonts w:hint="eastAsia"/>
          <w:lang w:val="en-US" w:eastAsia="zh-CN"/>
        </w:rPr>
      </w:pPr>
      <w:r>
        <w:rPr>
          <w:rFonts w:hint="eastAsia"/>
          <w:lang w:val="en-US" w:eastAsia="zh-CN"/>
        </w:rPr>
        <w:t>企业应提升员工安全生产风险控制意识，确保在其控制下工作的人员知晓：</w:t>
      </w:r>
    </w:p>
    <w:p>
      <w:pPr>
        <w:pStyle w:val="21"/>
        <w:numPr>
          <w:ilvl w:val="0"/>
          <w:numId w:val="45"/>
        </w:numPr>
        <w:ind w:left="420" w:leftChars="0" w:firstLine="0" w:firstLineChars="0"/>
        <w:rPr>
          <w:rFonts w:hint="eastAsia"/>
          <w:szCs w:val="22"/>
          <w:lang w:val="en-US" w:eastAsia="zh-CN"/>
        </w:rPr>
      </w:pPr>
      <w:r>
        <w:rPr>
          <w:rFonts w:hint="eastAsia"/>
          <w:szCs w:val="22"/>
          <w:lang w:val="en-US" w:eastAsia="zh-CN"/>
        </w:rPr>
        <w:t>安全与风险方针；</w:t>
      </w:r>
    </w:p>
    <w:p>
      <w:pPr>
        <w:pStyle w:val="21"/>
        <w:numPr>
          <w:ilvl w:val="0"/>
          <w:numId w:val="45"/>
        </w:numPr>
        <w:ind w:left="420" w:leftChars="0" w:firstLine="0" w:firstLineChars="0"/>
        <w:rPr>
          <w:rFonts w:hint="eastAsia"/>
          <w:szCs w:val="22"/>
          <w:lang w:val="en-US" w:eastAsia="zh-CN"/>
        </w:rPr>
      </w:pPr>
      <w:r>
        <w:rPr>
          <w:rFonts w:hint="eastAsia"/>
          <w:szCs w:val="22"/>
          <w:lang w:val="en-US" w:eastAsia="zh-CN"/>
        </w:rPr>
        <w:t>相关的安全与风险目标指标；</w:t>
      </w:r>
    </w:p>
    <w:p>
      <w:pPr>
        <w:pStyle w:val="21"/>
        <w:numPr>
          <w:ilvl w:val="0"/>
          <w:numId w:val="45"/>
        </w:numPr>
        <w:ind w:left="420" w:leftChars="0" w:firstLine="0" w:firstLineChars="0"/>
        <w:rPr>
          <w:rFonts w:hint="eastAsia"/>
          <w:szCs w:val="22"/>
          <w:lang w:val="en-US" w:eastAsia="zh-CN"/>
        </w:rPr>
      </w:pPr>
      <w:r>
        <w:rPr>
          <w:rFonts w:hint="eastAsia"/>
          <w:szCs w:val="22"/>
          <w:lang w:val="en-US" w:eastAsia="zh-CN"/>
        </w:rPr>
        <w:t>他们对安全与风险综合管理体系有效性的贡献，包括改进绩效的益处；</w:t>
      </w:r>
    </w:p>
    <w:p>
      <w:pPr>
        <w:pStyle w:val="21"/>
        <w:numPr>
          <w:ilvl w:val="0"/>
          <w:numId w:val="45"/>
        </w:numPr>
        <w:ind w:left="420" w:leftChars="0" w:firstLine="0" w:firstLineChars="0"/>
        <w:rPr>
          <w:rFonts w:hint="default"/>
          <w:szCs w:val="22"/>
          <w:lang w:val="en-US" w:eastAsia="zh-CN"/>
        </w:rPr>
      </w:pPr>
      <w:r>
        <w:rPr>
          <w:rFonts w:hint="eastAsia"/>
          <w:szCs w:val="22"/>
          <w:lang w:val="en-US" w:eastAsia="zh-CN"/>
        </w:rPr>
        <w:t>不符合安全与风险综合管理体系要求的后果。</w:t>
      </w:r>
    </w:p>
    <w:p>
      <w:pPr>
        <w:pStyle w:val="51"/>
        <w:bidi w:val="0"/>
        <w:ind w:left="0" w:leftChars="0" w:firstLine="0" w:firstLineChars="0"/>
        <w:rPr>
          <w:rFonts w:hint="default"/>
          <w:lang w:val="en-US" w:eastAsia="zh-CN"/>
        </w:rPr>
      </w:pPr>
      <w:bookmarkStart w:id="174" w:name="_Toc23647"/>
      <w:bookmarkStart w:id="175" w:name="_Toc14980"/>
      <w:bookmarkStart w:id="176" w:name="_Toc14512"/>
      <w:r>
        <w:rPr>
          <w:rFonts w:hint="default"/>
          <w:lang w:val="en-US" w:eastAsia="zh-CN"/>
        </w:rPr>
        <w:t>信息交流</w:t>
      </w:r>
      <w:bookmarkEnd w:id="174"/>
      <w:bookmarkEnd w:id="175"/>
      <w:bookmarkEnd w:id="176"/>
    </w:p>
    <w:p>
      <w:pPr>
        <w:pStyle w:val="21"/>
        <w:rPr>
          <w:rFonts w:hint="eastAsia"/>
          <w:lang w:val="en-US" w:eastAsia="zh-CN"/>
        </w:rPr>
      </w:pPr>
      <w:r>
        <w:rPr>
          <w:rFonts w:hint="eastAsia"/>
          <w:lang w:val="en-US" w:eastAsia="zh-CN"/>
        </w:rPr>
        <w:t>企业应建立、实施并保持和安全与风险综合管理体系有关的内部与外部信息交流所需的过程，包括：</w:t>
      </w:r>
    </w:p>
    <w:p>
      <w:pPr>
        <w:pStyle w:val="21"/>
        <w:numPr>
          <w:ilvl w:val="0"/>
          <w:numId w:val="46"/>
        </w:numPr>
        <w:ind w:left="420" w:leftChars="0" w:firstLine="0" w:firstLineChars="0"/>
        <w:rPr>
          <w:rFonts w:hint="eastAsia"/>
          <w:szCs w:val="22"/>
          <w:lang w:val="en-US" w:eastAsia="zh-CN"/>
        </w:rPr>
      </w:pPr>
      <w:r>
        <w:rPr>
          <w:rFonts w:hint="eastAsia"/>
          <w:szCs w:val="22"/>
          <w:lang w:val="en-US" w:eastAsia="zh-CN"/>
        </w:rPr>
        <w:t>内容；</w:t>
      </w:r>
    </w:p>
    <w:p>
      <w:pPr>
        <w:pStyle w:val="21"/>
        <w:numPr>
          <w:ilvl w:val="0"/>
          <w:numId w:val="46"/>
        </w:numPr>
        <w:ind w:left="420" w:leftChars="0" w:firstLine="0" w:firstLineChars="0"/>
        <w:rPr>
          <w:rFonts w:hint="eastAsia"/>
          <w:szCs w:val="22"/>
          <w:lang w:val="en-US" w:eastAsia="zh-CN"/>
        </w:rPr>
      </w:pPr>
      <w:r>
        <w:rPr>
          <w:rFonts w:hint="eastAsia"/>
          <w:szCs w:val="22"/>
          <w:lang w:val="en-US" w:eastAsia="zh-CN"/>
        </w:rPr>
        <w:t>时机；</w:t>
      </w:r>
    </w:p>
    <w:p>
      <w:pPr>
        <w:pStyle w:val="21"/>
        <w:numPr>
          <w:ilvl w:val="0"/>
          <w:numId w:val="46"/>
        </w:numPr>
        <w:ind w:left="420" w:leftChars="0" w:firstLine="0" w:firstLineChars="0"/>
        <w:rPr>
          <w:rFonts w:hint="eastAsia"/>
          <w:szCs w:val="22"/>
          <w:lang w:val="en-US" w:eastAsia="zh-CN"/>
        </w:rPr>
      </w:pPr>
      <w:r>
        <w:rPr>
          <w:rFonts w:hint="eastAsia"/>
          <w:szCs w:val="22"/>
          <w:lang w:val="en-US" w:eastAsia="zh-CN"/>
        </w:rPr>
        <w:t>对象；</w:t>
      </w:r>
    </w:p>
    <w:p>
      <w:pPr>
        <w:pStyle w:val="21"/>
        <w:numPr>
          <w:ilvl w:val="0"/>
          <w:numId w:val="46"/>
        </w:numPr>
        <w:ind w:left="420" w:leftChars="0" w:firstLine="0" w:firstLineChars="0"/>
        <w:rPr>
          <w:rFonts w:hint="eastAsia"/>
          <w:szCs w:val="22"/>
          <w:lang w:val="en-US" w:eastAsia="zh-CN"/>
        </w:rPr>
      </w:pPr>
      <w:r>
        <w:rPr>
          <w:rFonts w:hint="eastAsia"/>
          <w:szCs w:val="22"/>
          <w:lang w:val="en-US" w:eastAsia="zh-CN"/>
        </w:rPr>
        <w:t>方式。</w:t>
      </w:r>
    </w:p>
    <w:p>
      <w:pPr>
        <w:pStyle w:val="21"/>
        <w:rPr>
          <w:rFonts w:hint="eastAsia"/>
          <w:lang w:val="en-US" w:eastAsia="zh-CN"/>
        </w:rPr>
      </w:pPr>
      <w:r>
        <w:rPr>
          <w:rFonts w:hint="eastAsia"/>
          <w:lang w:val="en-US" w:eastAsia="zh-CN"/>
        </w:rPr>
        <w:t>策划信息交流过程时，企业应：</w:t>
      </w:r>
    </w:p>
    <w:p>
      <w:pPr>
        <w:pStyle w:val="21"/>
        <w:rPr>
          <w:rFonts w:hint="eastAsia"/>
          <w:lang w:val="en-US" w:eastAsia="zh-CN"/>
        </w:rPr>
      </w:pPr>
      <w:r>
        <w:rPr>
          <w:rFonts w:hint="eastAsia"/>
          <w:lang w:val="en-US" w:eastAsia="zh-CN"/>
        </w:rPr>
        <w:t>——必须考虑其合规义务；</w:t>
      </w:r>
    </w:p>
    <w:p>
      <w:pPr>
        <w:pStyle w:val="21"/>
        <w:rPr>
          <w:rFonts w:hint="eastAsia"/>
          <w:lang w:val="en-US" w:eastAsia="zh-CN"/>
        </w:rPr>
      </w:pPr>
      <w:r>
        <w:rPr>
          <w:rFonts w:hint="eastAsia"/>
          <w:lang w:val="en-US" w:eastAsia="zh-CN"/>
        </w:rPr>
        <w:t>——确保所交流的安全信息、风险信息和安全与风险综合管理体系形成的信息一致且真实可信。</w:t>
      </w:r>
    </w:p>
    <w:p>
      <w:pPr>
        <w:pStyle w:val="21"/>
        <w:rPr>
          <w:rFonts w:hint="eastAsia"/>
          <w:lang w:val="en-US" w:eastAsia="zh-CN"/>
        </w:rPr>
      </w:pPr>
      <w:r>
        <w:rPr>
          <w:rFonts w:hint="eastAsia"/>
          <w:lang w:val="en-US" w:eastAsia="zh-CN"/>
        </w:rPr>
        <w:t>企业应对其安全与风险综合管理体系相关的信息交流做出响应。</w:t>
      </w:r>
    </w:p>
    <w:p>
      <w:pPr>
        <w:pStyle w:val="21"/>
        <w:rPr>
          <w:rFonts w:hint="default"/>
          <w:lang w:val="en-US" w:eastAsia="zh-CN"/>
        </w:rPr>
      </w:pPr>
      <w:r>
        <w:rPr>
          <w:rFonts w:hint="eastAsia"/>
          <w:lang w:val="en-US" w:eastAsia="zh-CN"/>
        </w:rPr>
        <w:t>适当时，企业应保留成文信息，作为其信息交流的证据。</w:t>
      </w:r>
    </w:p>
    <w:p>
      <w:pPr>
        <w:pStyle w:val="94"/>
        <w:rPr>
          <w:rFonts w:hint="eastAsia"/>
          <w:szCs w:val="22"/>
          <w:lang w:val="en-US" w:eastAsia="zh-CN"/>
        </w:rPr>
      </w:pPr>
      <w:bookmarkStart w:id="177" w:name="_Toc24592"/>
      <w:bookmarkStart w:id="178" w:name="_Toc12753"/>
      <w:bookmarkStart w:id="179" w:name="_Toc7853"/>
      <w:r>
        <w:rPr>
          <w:rFonts w:hint="eastAsia"/>
          <w:szCs w:val="22"/>
          <w:lang w:val="en-US" w:eastAsia="zh-CN"/>
        </w:rPr>
        <w:t>供应商/分包方管理</w:t>
      </w:r>
      <w:bookmarkEnd w:id="177"/>
      <w:bookmarkEnd w:id="178"/>
    </w:p>
    <w:p>
      <w:pPr>
        <w:pStyle w:val="51"/>
        <w:bidi w:val="0"/>
        <w:ind w:left="0" w:leftChars="0" w:firstLine="0" w:firstLineChars="0"/>
        <w:rPr>
          <w:rFonts w:hint="eastAsia"/>
          <w:lang w:val="en-US" w:eastAsia="zh-CN"/>
        </w:rPr>
      </w:pPr>
      <w:bookmarkStart w:id="180" w:name="_Toc10707"/>
      <w:bookmarkStart w:id="181" w:name="_Toc4232"/>
      <w:bookmarkStart w:id="182" w:name="_Toc11108"/>
      <w:r>
        <w:rPr>
          <w:rFonts w:hint="eastAsia"/>
          <w:lang w:val="en-US" w:eastAsia="zh-CN"/>
        </w:rPr>
        <w:t>供应商管理</w:t>
      </w:r>
      <w:bookmarkEnd w:id="180"/>
      <w:bookmarkEnd w:id="181"/>
      <w:bookmarkEnd w:id="182"/>
    </w:p>
    <w:p>
      <w:pPr>
        <w:pStyle w:val="51"/>
        <w:numPr>
          <w:ilvl w:val="0"/>
          <w:numId w:val="0"/>
        </w:numPr>
        <w:tabs>
          <w:tab w:val="center" w:pos="4201"/>
          <w:tab w:val="right" w:leader="dot" w:pos="9298"/>
        </w:tabs>
        <w:rPr>
          <w:rFonts w:hint="eastAsia"/>
          <w:highlight w:val="none"/>
          <w:lang w:val="en-US" w:eastAsia="zh-CN"/>
        </w:rPr>
      </w:pPr>
      <w:bookmarkStart w:id="183" w:name="_Toc1019"/>
      <w:bookmarkStart w:id="184" w:name="_Toc12875"/>
      <w:r>
        <w:rPr>
          <w:rFonts w:hint="eastAsia"/>
          <w:highlight w:val="none"/>
          <w:lang w:val="en-US" w:eastAsia="zh-CN"/>
        </w:rPr>
        <w:t>8.1.1供应商选择</w:t>
      </w:r>
      <w:bookmarkEnd w:id="183"/>
      <w:bookmarkEnd w:id="184"/>
    </w:p>
    <w:p>
      <w:pPr>
        <w:pStyle w:val="21"/>
        <w:rPr>
          <w:rFonts w:hint="eastAsia"/>
          <w:lang w:val="en-US" w:eastAsia="zh-CN"/>
        </w:rPr>
      </w:pPr>
      <w:r>
        <w:rPr>
          <w:rFonts w:hint="eastAsia"/>
          <w:lang w:val="en-US" w:eastAsia="zh-CN"/>
        </w:rPr>
        <w:t>企业应建立供应商管理制度，以管理与供应商选择相关的风险。</w:t>
      </w:r>
    </w:p>
    <w:p>
      <w:pPr>
        <w:pStyle w:val="21"/>
        <w:rPr>
          <w:rFonts w:hint="eastAsia"/>
          <w:lang w:val="en-US" w:eastAsia="zh-CN"/>
        </w:rPr>
      </w:pPr>
      <w:r>
        <w:rPr>
          <w:rFonts w:hint="eastAsia"/>
          <w:lang w:val="en-US" w:eastAsia="zh-CN"/>
        </w:rPr>
        <w:t>选择内容包括：</w:t>
      </w:r>
    </w:p>
    <w:p>
      <w:pPr>
        <w:pStyle w:val="21"/>
        <w:numPr>
          <w:ilvl w:val="0"/>
          <w:numId w:val="47"/>
        </w:numPr>
        <w:ind w:left="420" w:leftChars="0" w:firstLine="0" w:firstLineChars="0"/>
        <w:rPr>
          <w:rFonts w:hint="eastAsia"/>
          <w:szCs w:val="22"/>
          <w:lang w:val="en-US" w:eastAsia="zh-CN"/>
        </w:rPr>
      </w:pPr>
      <w:r>
        <w:rPr>
          <w:rFonts w:hint="eastAsia"/>
          <w:szCs w:val="22"/>
          <w:lang w:val="en-US" w:eastAsia="zh-CN"/>
        </w:rPr>
        <w:t>合法经营资质；</w:t>
      </w:r>
    </w:p>
    <w:p>
      <w:pPr>
        <w:pStyle w:val="21"/>
        <w:numPr>
          <w:ilvl w:val="0"/>
          <w:numId w:val="47"/>
        </w:numPr>
        <w:ind w:left="420" w:leftChars="0" w:firstLine="0" w:firstLineChars="0"/>
        <w:rPr>
          <w:rFonts w:hint="eastAsia"/>
          <w:szCs w:val="22"/>
          <w:lang w:val="en-US" w:eastAsia="zh-CN"/>
        </w:rPr>
      </w:pPr>
      <w:r>
        <w:rPr>
          <w:rFonts w:hint="eastAsia"/>
          <w:szCs w:val="22"/>
          <w:lang w:val="en-US" w:eastAsia="zh-CN"/>
        </w:rPr>
        <w:t>按期提供产品和质量保证能力；</w:t>
      </w:r>
    </w:p>
    <w:p>
      <w:pPr>
        <w:pStyle w:val="21"/>
        <w:numPr>
          <w:ilvl w:val="0"/>
          <w:numId w:val="47"/>
        </w:numPr>
        <w:ind w:left="420" w:leftChars="0" w:firstLine="0" w:firstLineChars="0"/>
        <w:rPr>
          <w:rFonts w:hint="eastAsia"/>
          <w:szCs w:val="22"/>
          <w:lang w:val="en-US" w:eastAsia="zh-CN"/>
        </w:rPr>
      </w:pPr>
      <w:r>
        <w:rPr>
          <w:rFonts w:hint="eastAsia"/>
          <w:szCs w:val="22"/>
          <w:lang w:val="en-US" w:eastAsia="zh-CN"/>
        </w:rPr>
        <w:t>经验、信誉；</w:t>
      </w:r>
    </w:p>
    <w:p>
      <w:pPr>
        <w:pStyle w:val="21"/>
        <w:numPr>
          <w:ilvl w:val="0"/>
          <w:numId w:val="47"/>
        </w:numPr>
        <w:ind w:left="420" w:leftChars="0" w:firstLine="0" w:firstLineChars="0"/>
        <w:rPr>
          <w:rFonts w:hint="eastAsia"/>
          <w:szCs w:val="22"/>
          <w:lang w:val="en-US" w:eastAsia="zh-CN"/>
        </w:rPr>
      </w:pPr>
      <w:r>
        <w:rPr>
          <w:rFonts w:hint="eastAsia"/>
          <w:szCs w:val="22"/>
          <w:lang w:val="en-US" w:eastAsia="zh-CN"/>
        </w:rPr>
        <w:t>产品在企业的使用和运行情况；</w:t>
      </w:r>
    </w:p>
    <w:p>
      <w:pPr>
        <w:pStyle w:val="21"/>
        <w:numPr>
          <w:ilvl w:val="0"/>
          <w:numId w:val="47"/>
        </w:numPr>
        <w:ind w:left="420" w:leftChars="0" w:firstLine="0" w:firstLineChars="0"/>
        <w:rPr>
          <w:rFonts w:hint="eastAsia"/>
          <w:szCs w:val="22"/>
          <w:lang w:val="en-US" w:eastAsia="zh-CN"/>
        </w:rPr>
      </w:pPr>
      <w:r>
        <w:rPr>
          <w:rFonts w:hint="eastAsia"/>
          <w:szCs w:val="22"/>
          <w:lang w:val="en-US" w:eastAsia="zh-CN"/>
        </w:rPr>
        <w:t>价格、交货期、交付后的服务和技术支持能力；</w:t>
      </w:r>
    </w:p>
    <w:p>
      <w:pPr>
        <w:pStyle w:val="21"/>
        <w:numPr>
          <w:ilvl w:val="0"/>
          <w:numId w:val="47"/>
        </w:numPr>
        <w:ind w:left="420" w:leftChars="0" w:firstLine="0" w:firstLineChars="0"/>
        <w:rPr>
          <w:rFonts w:hint="default"/>
          <w:szCs w:val="22"/>
          <w:lang w:val="en-US" w:eastAsia="zh-CN"/>
        </w:rPr>
      </w:pPr>
      <w:r>
        <w:rPr>
          <w:rFonts w:hint="eastAsia"/>
          <w:szCs w:val="22"/>
          <w:lang w:val="en-US" w:eastAsia="zh-CN"/>
        </w:rPr>
        <w:t>供应商在产品生产过程中安健环的表现。</w:t>
      </w:r>
    </w:p>
    <w:p>
      <w:pPr>
        <w:pStyle w:val="21"/>
        <w:numPr>
          <w:ilvl w:val="0"/>
          <w:numId w:val="0"/>
        </w:numPr>
        <w:ind w:left="420" w:leftChars="0"/>
        <w:rPr>
          <w:rFonts w:hint="eastAsia"/>
          <w:szCs w:val="22"/>
          <w:lang w:val="en-US" w:eastAsia="zh-CN"/>
        </w:rPr>
      </w:pPr>
      <w:r>
        <w:rPr>
          <w:rFonts w:hint="eastAsia"/>
          <w:szCs w:val="22"/>
          <w:lang w:val="en-US" w:eastAsia="zh-CN"/>
        </w:rPr>
        <w:t>企业应根据供应商选择结果和招投标要求选择供应商。</w:t>
      </w:r>
    </w:p>
    <w:p>
      <w:pPr>
        <w:pStyle w:val="21"/>
        <w:numPr>
          <w:ilvl w:val="0"/>
          <w:numId w:val="0"/>
        </w:numPr>
        <w:ind w:left="420" w:leftChars="0"/>
        <w:rPr>
          <w:rFonts w:hint="eastAsia"/>
          <w:szCs w:val="22"/>
          <w:lang w:val="en-US" w:eastAsia="zh-CN"/>
        </w:rPr>
      </w:pPr>
      <w:r>
        <w:rPr>
          <w:rFonts w:hint="eastAsia"/>
          <w:szCs w:val="22"/>
          <w:lang w:val="en-US" w:eastAsia="zh-CN"/>
        </w:rPr>
        <w:t>企业应对供应商进入企业带来的风险进行识别并控制。</w:t>
      </w:r>
    </w:p>
    <w:p>
      <w:pPr>
        <w:pStyle w:val="21"/>
        <w:numPr>
          <w:ilvl w:val="0"/>
          <w:numId w:val="0"/>
        </w:numPr>
        <w:ind w:firstLine="420" w:firstLineChars="200"/>
        <w:rPr>
          <w:rFonts w:hint="eastAsia"/>
          <w:szCs w:val="22"/>
          <w:lang w:val="en-US" w:eastAsia="zh-CN"/>
        </w:rPr>
      </w:pPr>
      <w:r>
        <w:rPr>
          <w:rFonts w:hint="eastAsia"/>
          <w:szCs w:val="22"/>
          <w:lang w:val="en-US" w:eastAsia="zh-CN"/>
        </w:rPr>
        <w:t>企业应在供应商进入现场工作前进行全面的安全技术交底，并与供应商指定人员协调安健环事宜。</w:t>
      </w:r>
    </w:p>
    <w:p>
      <w:pPr>
        <w:pStyle w:val="21"/>
        <w:numPr>
          <w:ilvl w:val="0"/>
          <w:numId w:val="0"/>
        </w:numPr>
        <w:ind w:left="420" w:leftChars="0"/>
        <w:rPr>
          <w:rFonts w:hint="eastAsia"/>
          <w:szCs w:val="22"/>
          <w:lang w:val="en-US" w:eastAsia="zh-CN"/>
        </w:rPr>
      </w:pPr>
      <w:r>
        <w:rPr>
          <w:rFonts w:hint="eastAsia"/>
          <w:szCs w:val="22"/>
          <w:lang w:val="en-US" w:eastAsia="zh-CN"/>
        </w:rPr>
        <w:t>企业应对供应商现场工作进行过程控制。</w:t>
      </w:r>
    </w:p>
    <w:p>
      <w:pPr>
        <w:pStyle w:val="51"/>
        <w:numPr>
          <w:ilvl w:val="0"/>
          <w:numId w:val="0"/>
        </w:numPr>
        <w:tabs>
          <w:tab w:val="center" w:pos="4201"/>
          <w:tab w:val="right" w:leader="dot" w:pos="9298"/>
        </w:tabs>
        <w:rPr>
          <w:rFonts w:hint="eastAsia"/>
          <w:szCs w:val="21"/>
          <w:highlight w:val="none"/>
          <w:lang w:val="en-US" w:eastAsia="zh-CN"/>
        </w:rPr>
      </w:pPr>
      <w:bookmarkStart w:id="185" w:name="_Toc14177"/>
      <w:bookmarkStart w:id="186" w:name="_Toc8831"/>
      <w:r>
        <w:rPr>
          <w:rFonts w:hint="eastAsia"/>
          <w:szCs w:val="21"/>
          <w:highlight w:val="none"/>
          <w:lang w:val="en-US" w:eastAsia="zh-CN"/>
        </w:rPr>
        <w:t>8.1.2供应商评价</w:t>
      </w:r>
      <w:bookmarkEnd w:id="185"/>
      <w:bookmarkEnd w:id="186"/>
    </w:p>
    <w:p>
      <w:pPr>
        <w:pStyle w:val="21"/>
        <w:numPr>
          <w:ilvl w:val="0"/>
          <w:numId w:val="0"/>
        </w:numPr>
        <w:ind w:left="420" w:leftChars="0"/>
        <w:rPr>
          <w:rFonts w:hint="eastAsia"/>
          <w:szCs w:val="22"/>
          <w:lang w:val="en-US" w:eastAsia="zh-CN"/>
        </w:rPr>
      </w:pPr>
      <w:r>
        <w:rPr>
          <w:rFonts w:hint="eastAsia"/>
          <w:szCs w:val="22"/>
          <w:lang w:val="en-US" w:eastAsia="zh-CN"/>
        </w:rPr>
        <w:t>企业应建立供应商履约的评价标准，履约评价内容应包含：</w:t>
      </w:r>
    </w:p>
    <w:p>
      <w:pPr>
        <w:pStyle w:val="21"/>
        <w:numPr>
          <w:ilvl w:val="0"/>
          <w:numId w:val="48"/>
        </w:numPr>
        <w:ind w:left="420" w:leftChars="0" w:firstLine="0" w:firstLineChars="0"/>
        <w:rPr>
          <w:rFonts w:hint="eastAsia"/>
          <w:szCs w:val="22"/>
          <w:lang w:val="en-US" w:eastAsia="zh-CN"/>
        </w:rPr>
      </w:pPr>
      <w:r>
        <w:rPr>
          <w:rFonts w:hint="eastAsia"/>
          <w:szCs w:val="22"/>
          <w:lang w:val="en-US" w:eastAsia="zh-CN"/>
        </w:rPr>
        <w:t>产品技术标准；</w:t>
      </w:r>
    </w:p>
    <w:p>
      <w:pPr>
        <w:pStyle w:val="21"/>
        <w:numPr>
          <w:ilvl w:val="0"/>
          <w:numId w:val="48"/>
        </w:numPr>
        <w:ind w:left="420" w:leftChars="0" w:firstLine="0" w:firstLineChars="0"/>
        <w:rPr>
          <w:rFonts w:hint="eastAsia"/>
          <w:szCs w:val="22"/>
          <w:lang w:val="en-US" w:eastAsia="zh-CN"/>
        </w:rPr>
      </w:pPr>
      <w:r>
        <w:rPr>
          <w:rFonts w:hint="eastAsia"/>
          <w:szCs w:val="22"/>
          <w:lang w:val="en-US" w:eastAsia="zh-CN"/>
        </w:rPr>
        <w:t>产品质量标准；</w:t>
      </w:r>
    </w:p>
    <w:p>
      <w:pPr>
        <w:pStyle w:val="21"/>
        <w:numPr>
          <w:ilvl w:val="0"/>
          <w:numId w:val="48"/>
        </w:numPr>
        <w:ind w:left="420" w:leftChars="0" w:firstLine="0" w:firstLineChars="0"/>
        <w:rPr>
          <w:rFonts w:hint="eastAsia"/>
          <w:szCs w:val="22"/>
          <w:lang w:val="en-US" w:eastAsia="zh-CN"/>
        </w:rPr>
      </w:pPr>
      <w:r>
        <w:rPr>
          <w:rFonts w:hint="eastAsia"/>
          <w:szCs w:val="22"/>
          <w:lang w:val="en-US" w:eastAsia="zh-CN"/>
        </w:rPr>
        <w:t>附加及售后服务情况等。</w:t>
      </w:r>
    </w:p>
    <w:p>
      <w:pPr>
        <w:pStyle w:val="21"/>
        <w:numPr>
          <w:ilvl w:val="0"/>
          <w:numId w:val="0"/>
        </w:numPr>
        <w:ind w:left="420" w:leftChars="0"/>
        <w:rPr>
          <w:rFonts w:hint="eastAsia"/>
          <w:szCs w:val="22"/>
          <w:lang w:val="en-US" w:eastAsia="zh-CN"/>
        </w:rPr>
      </w:pPr>
      <w:r>
        <w:rPr>
          <w:rFonts w:hint="eastAsia"/>
          <w:szCs w:val="22"/>
          <w:lang w:val="en-US" w:eastAsia="zh-CN"/>
        </w:rPr>
        <w:t>供应商履约的评价结果应作为今后选择供应商的依据。</w:t>
      </w:r>
    </w:p>
    <w:p>
      <w:pPr>
        <w:pStyle w:val="21"/>
        <w:numPr>
          <w:ilvl w:val="0"/>
          <w:numId w:val="0"/>
        </w:numPr>
        <w:ind w:left="420" w:leftChars="0"/>
        <w:rPr>
          <w:rFonts w:hint="default"/>
          <w:szCs w:val="22"/>
          <w:lang w:val="en-US" w:eastAsia="zh-CN"/>
        </w:rPr>
      </w:pPr>
      <w:r>
        <w:rPr>
          <w:rFonts w:hint="eastAsia"/>
          <w:lang w:val="en-US" w:eastAsia="zh-CN"/>
        </w:rPr>
        <w:t>企业应保留成文信息，作为供应商管理的证据。</w:t>
      </w:r>
    </w:p>
    <w:p>
      <w:pPr>
        <w:pStyle w:val="51"/>
        <w:bidi w:val="0"/>
        <w:ind w:left="0" w:leftChars="0" w:firstLine="0" w:firstLineChars="0"/>
        <w:rPr>
          <w:rFonts w:hint="eastAsia"/>
          <w:lang w:val="en-US" w:eastAsia="zh-CN"/>
        </w:rPr>
      </w:pPr>
      <w:bookmarkStart w:id="187" w:name="_Toc1542"/>
      <w:bookmarkStart w:id="188" w:name="_Toc15572"/>
      <w:r>
        <w:rPr>
          <w:rFonts w:hint="eastAsia"/>
          <w:lang w:val="en-US" w:eastAsia="zh-CN"/>
        </w:rPr>
        <w:t>分包方管理</w:t>
      </w:r>
      <w:bookmarkEnd w:id="187"/>
      <w:bookmarkEnd w:id="188"/>
    </w:p>
    <w:p>
      <w:pPr>
        <w:pStyle w:val="51"/>
        <w:numPr>
          <w:ilvl w:val="0"/>
          <w:numId w:val="0"/>
        </w:numPr>
        <w:bidi w:val="0"/>
        <w:ind w:leftChars="0"/>
        <w:rPr>
          <w:rFonts w:hint="eastAsia"/>
          <w:lang w:val="en-US" w:eastAsia="zh-CN"/>
        </w:rPr>
      </w:pPr>
      <w:bookmarkStart w:id="189" w:name="_Toc24870"/>
      <w:bookmarkStart w:id="190" w:name="_Toc24012"/>
      <w:r>
        <w:rPr>
          <w:rFonts w:hint="eastAsia"/>
          <w:lang w:val="en-US" w:eastAsia="zh-CN"/>
        </w:rPr>
        <w:t>8.2.1分包方选择</w:t>
      </w:r>
      <w:bookmarkEnd w:id="189"/>
      <w:bookmarkEnd w:id="190"/>
    </w:p>
    <w:p>
      <w:pPr>
        <w:pStyle w:val="21"/>
        <w:rPr>
          <w:rFonts w:hint="eastAsia"/>
          <w:lang w:val="en-US" w:eastAsia="zh-CN"/>
        </w:rPr>
      </w:pPr>
      <w:r>
        <w:rPr>
          <w:rFonts w:hint="eastAsia"/>
          <w:lang w:val="en-US" w:eastAsia="zh-CN"/>
        </w:rPr>
        <w:t>企业应建立分包方管理制度，对分包方进行选择和管理。</w:t>
      </w:r>
    </w:p>
    <w:p>
      <w:pPr>
        <w:pStyle w:val="21"/>
        <w:rPr>
          <w:rFonts w:hint="eastAsia"/>
          <w:lang w:val="en-US" w:eastAsia="zh-CN"/>
        </w:rPr>
      </w:pPr>
      <w:r>
        <w:rPr>
          <w:rFonts w:hint="eastAsia"/>
          <w:lang w:val="en-US" w:eastAsia="zh-CN"/>
        </w:rPr>
        <w:t>企业应按管理制度的要求对分包方进行评价和资质审查，评价与审查内容应包括：</w:t>
      </w:r>
    </w:p>
    <w:p>
      <w:pPr>
        <w:pStyle w:val="21"/>
        <w:numPr>
          <w:ilvl w:val="0"/>
          <w:numId w:val="49"/>
        </w:numPr>
        <w:ind w:left="420" w:leftChars="0" w:firstLine="0" w:firstLineChars="0"/>
        <w:rPr>
          <w:rFonts w:hint="eastAsia"/>
          <w:szCs w:val="22"/>
          <w:lang w:val="en-US" w:eastAsia="zh-CN"/>
        </w:rPr>
      </w:pPr>
      <w:r>
        <w:rPr>
          <w:rFonts w:hint="eastAsia"/>
          <w:szCs w:val="22"/>
          <w:lang w:val="en-US" w:eastAsia="zh-CN"/>
        </w:rPr>
        <w:t>法律法规许可的经营许可和资质；</w:t>
      </w:r>
    </w:p>
    <w:p>
      <w:pPr>
        <w:pStyle w:val="21"/>
        <w:numPr>
          <w:ilvl w:val="0"/>
          <w:numId w:val="49"/>
        </w:numPr>
        <w:ind w:left="420" w:leftChars="0" w:firstLine="0" w:firstLineChars="0"/>
        <w:rPr>
          <w:rFonts w:hint="eastAsia"/>
          <w:szCs w:val="22"/>
          <w:lang w:val="en-US" w:eastAsia="zh-CN"/>
        </w:rPr>
      </w:pPr>
      <w:r>
        <w:rPr>
          <w:rFonts w:hint="eastAsia"/>
          <w:szCs w:val="22"/>
          <w:lang w:val="en-US" w:eastAsia="zh-CN"/>
        </w:rPr>
        <w:t>分包方内部管理的规章制度；</w:t>
      </w:r>
    </w:p>
    <w:p>
      <w:pPr>
        <w:pStyle w:val="21"/>
        <w:numPr>
          <w:ilvl w:val="0"/>
          <w:numId w:val="49"/>
        </w:numPr>
        <w:ind w:left="420" w:leftChars="0" w:firstLine="0" w:firstLineChars="0"/>
        <w:rPr>
          <w:rFonts w:hint="eastAsia"/>
          <w:szCs w:val="22"/>
          <w:lang w:val="en-US" w:eastAsia="zh-CN"/>
        </w:rPr>
      </w:pPr>
      <w:r>
        <w:rPr>
          <w:rFonts w:hint="eastAsia"/>
          <w:szCs w:val="22"/>
          <w:lang w:val="en-US" w:eastAsia="zh-CN"/>
        </w:rPr>
        <w:t>分包方在服务过程中的安健环表现；</w:t>
      </w:r>
    </w:p>
    <w:p>
      <w:pPr>
        <w:pStyle w:val="21"/>
        <w:numPr>
          <w:ilvl w:val="0"/>
          <w:numId w:val="49"/>
        </w:numPr>
        <w:ind w:left="420" w:leftChars="0" w:firstLine="0" w:firstLineChars="0"/>
        <w:rPr>
          <w:rFonts w:hint="eastAsia"/>
          <w:szCs w:val="22"/>
          <w:lang w:val="en-US" w:eastAsia="zh-CN"/>
        </w:rPr>
      </w:pPr>
      <w:r>
        <w:rPr>
          <w:rFonts w:hint="eastAsia"/>
          <w:szCs w:val="22"/>
          <w:lang w:val="en-US" w:eastAsia="zh-CN"/>
        </w:rPr>
        <w:t>分包方员工培训与能力证明资料；</w:t>
      </w:r>
    </w:p>
    <w:p>
      <w:pPr>
        <w:pStyle w:val="21"/>
        <w:numPr>
          <w:ilvl w:val="0"/>
          <w:numId w:val="49"/>
        </w:numPr>
        <w:ind w:left="420" w:leftChars="0" w:firstLine="0" w:firstLineChars="0"/>
        <w:rPr>
          <w:rFonts w:hint="eastAsia"/>
          <w:szCs w:val="22"/>
          <w:lang w:val="en-US" w:eastAsia="zh-CN"/>
        </w:rPr>
      </w:pPr>
      <w:r>
        <w:rPr>
          <w:rFonts w:hint="eastAsia"/>
          <w:szCs w:val="22"/>
          <w:lang w:val="en-US" w:eastAsia="zh-CN"/>
        </w:rPr>
        <w:t>分包方的保险证明资料，包括</w:t>
      </w:r>
      <w:r>
        <w:rPr>
          <w:rFonts w:hint="eastAsia" w:ascii="宋体" w:hAnsi="Times New Roman" w:eastAsia="宋体" w:cs="Times New Roman"/>
          <w:szCs w:val="22"/>
          <w:lang w:val="en-US" w:eastAsia="zh-CN"/>
        </w:rPr>
        <w:t>安全生产责任保险</w:t>
      </w:r>
      <w:r>
        <w:rPr>
          <w:rFonts w:hint="eastAsia" w:cs="Times New Roman"/>
          <w:szCs w:val="22"/>
          <w:lang w:val="en-US" w:eastAsia="zh-CN"/>
        </w:rPr>
        <w:t>、社会保险、工伤保险等</w:t>
      </w:r>
      <w:r>
        <w:rPr>
          <w:rFonts w:hint="eastAsia"/>
          <w:szCs w:val="22"/>
          <w:lang w:val="en-US" w:eastAsia="zh-CN"/>
        </w:rPr>
        <w:t>；</w:t>
      </w:r>
    </w:p>
    <w:p>
      <w:pPr>
        <w:pStyle w:val="21"/>
        <w:numPr>
          <w:ilvl w:val="0"/>
          <w:numId w:val="49"/>
        </w:numPr>
        <w:ind w:left="420" w:leftChars="0" w:firstLine="0" w:firstLineChars="0"/>
        <w:rPr>
          <w:rFonts w:hint="eastAsia"/>
          <w:szCs w:val="22"/>
          <w:lang w:val="en-US" w:eastAsia="zh-CN"/>
        </w:rPr>
      </w:pPr>
      <w:r>
        <w:rPr>
          <w:rFonts w:hint="eastAsia"/>
          <w:szCs w:val="22"/>
          <w:lang w:val="en-US" w:eastAsia="zh-CN"/>
        </w:rPr>
        <w:t>分包方的工伤率、员工赔偿费用等资料；</w:t>
      </w:r>
    </w:p>
    <w:p>
      <w:pPr>
        <w:pStyle w:val="21"/>
        <w:numPr>
          <w:ilvl w:val="0"/>
          <w:numId w:val="49"/>
        </w:numPr>
        <w:ind w:left="420" w:leftChars="0" w:firstLine="0" w:firstLineChars="0"/>
        <w:rPr>
          <w:rFonts w:hint="eastAsia"/>
          <w:szCs w:val="22"/>
          <w:lang w:val="en-US" w:eastAsia="zh-CN"/>
        </w:rPr>
      </w:pPr>
      <w:r>
        <w:rPr>
          <w:rFonts w:hint="eastAsia"/>
          <w:szCs w:val="22"/>
          <w:lang w:val="en-US" w:eastAsia="zh-CN"/>
        </w:rPr>
        <w:t>分包方工程业绩与社会信誉；</w:t>
      </w:r>
    </w:p>
    <w:p>
      <w:pPr>
        <w:pStyle w:val="21"/>
        <w:numPr>
          <w:ilvl w:val="0"/>
          <w:numId w:val="49"/>
        </w:numPr>
        <w:ind w:left="420" w:leftChars="0" w:firstLine="0" w:firstLineChars="0"/>
        <w:rPr>
          <w:rFonts w:hint="eastAsia"/>
          <w:szCs w:val="22"/>
          <w:lang w:val="en-US" w:eastAsia="zh-CN"/>
        </w:rPr>
      </w:pPr>
      <w:r>
        <w:rPr>
          <w:rFonts w:hint="eastAsia"/>
          <w:szCs w:val="22"/>
          <w:lang w:val="en-US" w:eastAsia="zh-CN"/>
        </w:rPr>
        <w:t>人员结构、执业资格和素质；</w:t>
      </w:r>
    </w:p>
    <w:p>
      <w:pPr>
        <w:pStyle w:val="21"/>
        <w:numPr>
          <w:ilvl w:val="0"/>
          <w:numId w:val="49"/>
        </w:numPr>
        <w:ind w:left="420" w:leftChars="0" w:firstLine="0" w:firstLineChars="0"/>
        <w:rPr>
          <w:rFonts w:hint="eastAsia"/>
          <w:szCs w:val="22"/>
          <w:lang w:val="en-US" w:eastAsia="zh-CN"/>
        </w:rPr>
      </w:pPr>
      <w:r>
        <w:rPr>
          <w:rFonts w:hint="eastAsia"/>
          <w:szCs w:val="22"/>
          <w:lang w:val="en-US" w:eastAsia="zh-CN"/>
        </w:rPr>
        <w:t>施工机具与设施；</w:t>
      </w:r>
    </w:p>
    <w:p>
      <w:pPr>
        <w:pStyle w:val="21"/>
        <w:numPr>
          <w:ilvl w:val="0"/>
          <w:numId w:val="49"/>
        </w:numPr>
        <w:ind w:left="420" w:leftChars="0" w:firstLine="0" w:firstLineChars="0"/>
        <w:rPr>
          <w:rFonts w:hint="eastAsia"/>
          <w:szCs w:val="22"/>
          <w:lang w:val="en-US" w:eastAsia="zh-CN"/>
        </w:rPr>
      </w:pPr>
      <w:r>
        <w:rPr>
          <w:rFonts w:hint="eastAsia"/>
          <w:szCs w:val="22"/>
          <w:lang w:val="en-US" w:eastAsia="zh-CN"/>
        </w:rPr>
        <w:t>专业技术和施工管理水平；</w:t>
      </w:r>
    </w:p>
    <w:p>
      <w:pPr>
        <w:pStyle w:val="21"/>
        <w:numPr>
          <w:ilvl w:val="0"/>
          <w:numId w:val="49"/>
        </w:numPr>
        <w:ind w:left="420" w:leftChars="0" w:firstLine="0" w:firstLineChars="0"/>
        <w:rPr>
          <w:rFonts w:hint="eastAsia"/>
          <w:szCs w:val="22"/>
          <w:lang w:val="en-US" w:eastAsia="zh-CN"/>
        </w:rPr>
      </w:pPr>
      <w:r>
        <w:rPr>
          <w:rFonts w:hint="eastAsia"/>
          <w:szCs w:val="22"/>
          <w:lang w:val="en-US" w:eastAsia="zh-CN"/>
        </w:rPr>
        <w:t>协作、配合、服务和抗风险能力。</w:t>
      </w:r>
    </w:p>
    <w:p>
      <w:pPr>
        <w:pStyle w:val="21"/>
        <w:numPr>
          <w:ilvl w:val="0"/>
          <w:numId w:val="0"/>
        </w:numPr>
        <w:ind w:left="420" w:leftChars="0"/>
        <w:rPr>
          <w:rFonts w:hint="eastAsia"/>
          <w:szCs w:val="22"/>
          <w:lang w:val="en-US" w:eastAsia="zh-CN"/>
        </w:rPr>
      </w:pPr>
      <w:r>
        <w:rPr>
          <w:rFonts w:hint="eastAsia"/>
          <w:szCs w:val="22"/>
          <w:lang w:val="en-US" w:eastAsia="zh-CN"/>
        </w:rPr>
        <w:t>企业在选择分包方时应考虑：</w:t>
      </w:r>
    </w:p>
    <w:p>
      <w:pPr>
        <w:pStyle w:val="21"/>
        <w:numPr>
          <w:ilvl w:val="0"/>
          <w:numId w:val="0"/>
        </w:numPr>
        <w:ind w:left="420" w:leftChars="0"/>
        <w:rPr>
          <w:rFonts w:hint="eastAsia"/>
          <w:szCs w:val="22"/>
          <w:lang w:val="en-US" w:eastAsia="zh-CN"/>
        </w:rPr>
      </w:pPr>
      <w:r>
        <w:rPr>
          <w:rFonts w:hint="eastAsia"/>
          <w:szCs w:val="22"/>
          <w:lang w:val="en-US" w:eastAsia="zh-CN"/>
        </w:rPr>
        <w:t>——分包方进入企业带来的风险和招投标要求；</w:t>
      </w:r>
    </w:p>
    <w:p>
      <w:pPr>
        <w:pStyle w:val="21"/>
        <w:numPr>
          <w:ilvl w:val="0"/>
          <w:numId w:val="0"/>
        </w:numPr>
        <w:ind w:left="420" w:leftChars="0"/>
        <w:rPr>
          <w:rFonts w:hint="eastAsia"/>
          <w:szCs w:val="22"/>
          <w:lang w:val="en-US" w:eastAsia="zh-CN"/>
        </w:rPr>
      </w:pPr>
      <w:r>
        <w:rPr>
          <w:rFonts w:hint="eastAsia"/>
          <w:szCs w:val="22"/>
          <w:lang w:val="en-US" w:eastAsia="zh-CN"/>
        </w:rPr>
        <w:t>——分包方的安健环资质、内部管理和业绩；</w:t>
      </w:r>
    </w:p>
    <w:p>
      <w:pPr>
        <w:pStyle w:val="21"/>
        <w:numPr>
          <w:ilvl w:val="0"/>
          <w:numId w:val="0"/>
        </w:numPr>
        <w:ind w:left="420" w:leftChars="0"/>
        <w:rPr>
          <w:rFonts w:hint="eastAsia"/>
          <w:szCs w:val="22"/>
          <w:lang w:val="en-US" w:eastAsia="zh-CN"/>
        </w:rPr>
      </w:pPr>
      <w:r>
        <w:rPr>
          <w:rFonts w:hint="eastAsia"/>
          <w:szCs w:val="22"/>
          <w:lang w:val="en-US" w:eastAsia="zh-CN"/>
        </w:rPr>
        <w:t>——分包方在企业的安健环表现；</w:t>
      </w:r>
    </w:p>
    <w:p>
      <w:pPr>
        <w:pStyle w:val="21"/>
        <w:numPr>
          <w:ilvl w:val="0"/>
          <w:numId w:val="0"/>
        </w:numPr>
        <w:ind w:left="420" w:leftChars="0"/>
        <w:rPr>
          <w:rFonts w:hint="eastAsia"/>
          <w:szCs w:val="22"/>
          <w:lang w:val="en-US" w:eastAsia="zh-CN"/>
        </w:rPr>
      </w:pPr>
      <w:r>
        <w:rPr>
          <w:rFonts w:hint="eastAsia"/>
          <w:szCs w:val="22"/>
          <w:lang w:val="en-US" w:eastAsia="zh-CN"/>
        </w:rPr>
        <w:t>——分包方遵守强制性要求的意愿和能力；</w:t>
      </w:r>
    </w:p>
    <w:p>
      <w:pPr>
        <w:pStyle w:val="21"/>
        <w:numPr>
          <w:ilvl w:val="0"/>
          <w:numId w:val="0"/>
        </w:numPr>
        <w:ind w:left="420" w:leftChars="0"/>
        <w:rPr>
          <w:rFonts w:hint="eastAsia"/>
          <w:szCs w:val="22"/>
          <w:lang w:val="en-US" w:eastAsia="zh-CN"/>
        </w:rPr>
      </w:pPr>
      <w:r>
        <w:rPr>
          <w:rFonts w:hint="eastAsia"/>
          <w:szCs w:val="22"/>
          <w:lang w:val="en-US" w:eastAsia="zh-CN"/>
        </w:rPr>
        <w:t>——分包方满足企业安健环要求的意愿和能力；</w:t>
      </w:r>
    </w:p>
    <w:p>
      <w:pPr>
        <w:pStyle w:val="21"/>
        <w:numPr>
          <w:ilvl w:val="0"/>
          <w:numId w:val="0"/>
        </w:numPr>
        <w:ind w:left="420" w:leftChars="0"/>
        <w:rPr>
          <w:rFonts w:hint="default"/>
          <w:szCs w:val="22"/>
          <w:lang w:val="en-US" w:eastAsia="zh-CN"/>
        </w:rPr>
      </w:pPr>
      <w:r>
        <w:rPr>
          <w:rFonts w:hint="eastAsia"/>
          <w:szCs w:val="22"/>
          <w:lang w:val="en-US" w:eastAsia="zh-CN"/>
        </w:rPr>
        <w:t>——分包方保险程序的充分性。</w:t>
      </w:r>
    </w:p>
    <w:p>
      <w:pPr>
        <w:pStyle w:val="21"/>
        <w:numPr>
          <w:ilvl w:val="0"/>
          <w:numId w:val="0"/>
        </w:numPr>
        <w:ind w:left="420" w:leftChars="0"/>
        <w:rPr>
          <w:rFonts w:hint="eastAsia"/>
          <w:szCs w:val="22"/>
          <w:lang w:val="en-US" w:eastAsia="zh-CN"/>
        </w:rPr>
      </w:pPr>
      <w:r>
        <w:rPr>
          <w:rFonts w:hint="eastAsia"/>
          <w:szCs w:val="22"/>
          <w:lang w:val="en-US" w:eastAsia="zh-CN"/>
        </w:rPr>
        <w:t>分包合同应依据总包合同的约定和工程需要订立，明确双方的安全责任，并经企业授权人员审核。</w:t>
      </w:r>
    </w:p>
    <w:p>
      <w:pPr>
        <w:pStyle w:val="21"/>
        <w:numPr>
          <w:ilvl w:val="0"/>
          <w:numId w:val="0"/>
        </w:numPr>
        <w:ind w:left="420" w:leftChars="0"/>
        <w:rPr>
          <w:rFonts w:hint="eastAsia"/>
          <w:lang w:val="en-US" w:eastAsia="zh-CN"/>
        </w:rPr>
      </w:pPr>
      <w:r>
        <w:rPr>
          <w:rFonts w:hint="eastAsia"/>
          <w:lang w:val="en-US" w:eastAsia="zh-CN"/>
        </w:rPr>
        <w:t>企业应保留成文信息，作为分包方选择的证据。</w:t>
      </w:r>
    </w:p>
    <w:p>
      <w:pPr>
        <w:pStyle w:val="51"/>
        <w:numPr>
          <w:ilvl w:val="0"/>
          <w:numId w:val="0"/>
        </w:numPr>
        <w:tabs>
          <w:tab w:val="center" w:pos="4201"/>
          <w:tab w:val="right" w:leader="dot" w:pos="9298"/>
        </w:tabs>
        <w:rPr>
          <w:rFonts w:hint="eastAsia"/>
          <w:highlight w:val="none"/>
          <w:lang w:val="en-US" w:eastAsia="zh-CN"/>
        </w:rPr>
      </w:pPr>
      <w:bookmarkStart w:id="191" w:name="_Toc22690"/>
      <w:bookmarkStart w:id="192" w:name="_Toc13788"/>
      <w:r>
        <w:rPr>
          <w:rFonts w:hint="eastAsia"/>
          <w:highlight w:val="none"/>
          <w:lang w:val="en-US" w:eastAsia="zh-CN"/>
        </w:rPr>
        <w:t>8.2.2分包方评价</w:t>
      </w:r>
      <w:bookmarkEnd w:id="191"/>
      <w:bookmarkEnd w:id="192"/>
    </w:p>
    <w:p>
      <w:pPr>
        <w:pStyle w:val="21"/>
        <w:numPr>
          <w:ilvl w:val="0"/>
          <w:numId w:val="0"/>
        </w:numPr>
        <w:ind w:left="420" w:leftChars="0"/>
        <w:rPr>
          <w:rFonts w:hint="eastAsia"/>
          <w:highlight w:val="none"/>
          <w:lang w:val="en-US" w:eastAsia="zh-CN"/>
        </w:rPr>
      </w:pPr>
      <w:r>
        <w:rPr>
          <w:rFonts w:hint="eastAsia"/>
          <w:highlight w:val="none"/>
          <w:lang w:val="en-US" w:eastAsia="zh-CN"/>
        </w:rPr>
        <w:t>企业应建立分包方评价制度，对分包方进行履约评价。评价内容应包括：</w:t>
      </w:r>
    </w:p>
    <w:p>
      <w:pPr>
        <w:pStyle w:val="21"/>
        <w:numPr>
          <w:ilvl w:val="0"/>
          <w:numId w:val="50"/>
        </w:numPr>
        <w:ind w:left="420" w:leftChars="0" w:firstLine="0" w:firstLineChars="0"/>
        <w:rPr>
          <w:rFonts w:hint="eastAsia"/>
          <w:szCs w:val="22"/>
          <w:lang w:val="en-US" w:eastAsia="zh-CN"/>
        </w:rPr>
      </w:pPr>
      <w:r>
        <w:rPr>
          <w:rFonts w:hint="eastAsia"/>
          <w:szCs w:val="22"/>
          <w:lang w:val="en-US" w:eastAsia="zh-CN"/>
        </w:rPr>
        <w:t>分包方工程或服务所达到的技术、质量标准；</w:t>
      </w:r>
    </w:p>
    <w:p>
      <w:pPr>
        <w:pStyle w:val="21"/>
        <w:numPr>
          <w:ilvl w:val="0"/>
          <w:numId w:val="50"/>
        </w:numPr>
        <w:ind w:left="420" w:leftChars="0" w:firstLine="0" w:firstLineChars="0"/>
        <w:rPr>
          <w:rFonts w:hint="eastAsia"/>
          <w:szCs w:val="22"/>
          <w:lang w:val="en-US" w:eastAsia="zh-CN"/>
        </w:rPr>
      </w:pPr>
      <w:r>
        <w:rPr>
          <w:rFonts w:hint="eastAsia"/>
          <w:szCs w:val="22"/>
          <w:lang w:val="en-US" w:eastAsia="zh-CN"/>
        </w:rPr>
        <w:t>分包方工程的服务水平；</w:t>
      </w:r>
    </w:p>
    <w:p>
      <w:pPr>
        <w:pStyle w:val="21"/>
        <w:numPr>
          <w:ilvl w:val="0"/>
          <w:numId w:val="50"/>
        </w:numPr>
        <w:ind w:left="420" w:leftChars="0" w:firstLine="0" w:firstLineChars="0"/>
        <w:rPr>
          <w:rFonts w:hint="eastAsia"/>
          <w:szCs w:val="22"/>
          <w:lang w:val="en-US" w:eastAsia="zh-CN"/>
        </w:rPr>
      </w:pPr>
      <w:r>
        <w:rPr>
          <w:rFonts w:hint="eastAsia"/>
          <w:szCs w:val="22"/>
          <w:lang w:val="en-US" w:eastAsia="zh-CN"/>
        </w:rPr>
        <w:t>分包方工程的安健环表现；</w:t>
      </w:r>
    </w:p>
    <w:p>
      <w:pPr>
        <w:pStyle w:val="21"/>
        <w:numPr>
          <w:ilvl w:val="0"/>
          <w:numId w:val="50"/>
        </w:numPr>
        <w:ind w:left="420" w:leftChars="0" w:firstLine="0" w:firstLineChars="0"/>
        <w:rPr>
          <w:rFonts w:hint="eastAsia"/>
          <w:szCs w:val="22"/>
          <w:lang w:val="en-US" w:eastAsia="zh-CN"/>
        </w:rPr>
      </w:pPr>
      <w:r>
        <w:rPr>
          <w:rFonts w:hint="eastAsia"/>
          <w:szCs w:val="22"/>
          <w:lang w:val="en-US" w:eastAsia="zh-CN"/>
        </w:rPr>
        <w:t>其他合同约定内容的履行情况。</w:t>
      </w:r>
    </w:p>
    <w:p>
      <w:pPr>
        <w:ind w:firstLine="420" w:firstLineChars="200"/>
      </w:pPr>
      <w:r>
        <w:rPr>
          <w:rFonts w:hint="eastAsia"/>
          <w:szCs w:val="22"/>
          <w:lang w:val="en-US" w:eastAsia="zh-CN"/>
        </w:rPr>
        <w:t>对分包方的履约评价应保存记录，并作为重新评价、选择分包方和改进分包管理的依据。</w:t>
      </w:r>
    </w:p>
    <w:p>
      <w:pPr>
        <w:pStyle w:val="94"/>
        <w:rPr>
          <w:rFonts w:hint="eastAsia"/>
          <w:szCs w:val="22"/>
          <w:highlight w:val="none"/>
          <w:lang w:val="en-US" w:eastAsia="zh-CN"/>
        </w:rPr>
      </w:pPr>
      <w:bookmarkStart w:id="193" w:name="_Toc24559"/>
      <w:bookmarkStart w:id="194" w:name="_Toc1579"/>
      <w:bookmarkStart w:id="195" w:name="_Toc14806"/>
      <w:r>
        <w:rPr>
          <w:rFonts w:hint="eastAsia"/>
          <w:szCs w:val="22"/>
          <w:highlight w:val="none"/>
          <w:lang w:val="en-US" w:eastAsia="zh-CN"/>
        </w:rPr>
        <w:t>施工机具管理</w:t>
      </w:r>
      <w:bookmarkEnd w:id="193"/>
      <w:bookmarkEnd w:id="194"/>
      <w:bookmarkEnd w:id="195"/>
    </w:p>
    <w:p>
      <w:pPr>
        <w:pStyle w:val="51"/>
        <w:bidi w:val="0"/>
        <w:ind w:left="0" w:leftChars="0" w:firstLine="0" w:firstLineChars="0"/>
        <w:rPr>
          <w:rFonts w:hint="eastAsia"/>
          <w:lang w:val="en-US" w:eastAsia="zh-CN"/>
        </w:rPr>
      </w:pPr>
      <w:bookmarkStart w:id="196" w:name="_Toc6600"/>
      <w:bookmarkStart w:id="197" w:name="_Toc8263"/>
      <w:r>
        <w:rPr>
          <w:rFonts w:hint="eastAsia"/>
          <w:lang w:val="en-US" w:eastAsia="zh-CN"/>
        </w:rPr>
        <w:t>需求识别</w:t>
      </w:r>
      <w:bookmarkEnd w:id="196"/>
      <w:bookmarkEnd w:id="197"/>
    </w:p>
    <w:p>
      <w:pPr>
        <w:pStyle w:val="21"/>
        <w:rPr>
          <w:rFonts w:hint="eastAsia"/>
          <w:lang w:val="en-US" w:eastAsia="zh-CN"/>
        </w:rPr>
      </w:pPr>
      <w:r>
        <w:rPr>
          <w:rFonts w:hint="eastAsia"/>
          <w:lang w:val="en-US" w:eastAsia="zh-CN"/>
        </w:rPr>
        <w:t>企业应识别工程施工所需的施工机具，并制定施工机具配备计划，经审批后组织实施。</w:t>
      </w:r>
    </w:p>
    <w:p>
      <w:pPr>
        <w:pStyle w:val="21"/>
        <w:rPr>
          <w:rFonts w:hint="eastAsia"/>
          <w:lang w:val="en-US" w:eastAsia="zh-CN"/>
        </w:rPr>
      </w:pPr>
      <w:r>
        <w:rPr>
          <w:rFonts w:hint="eastAsia"/>
          <w:lang w:val="en-US" w:eastAsia="zh-CN"/>
        </w:rPr>
        <w:t>需求识别</w:t>
      </w:r>
      <w:r>
        <w:rPr>
          <w:rFonts w:hint="eastAsia"/>
        </w:rPr>
        <w:t>应满足国家、行业</w:t>
      </w:r>
      <w:r>
        <w:rPr>
          <w:rFonts w:hint="eastAsia"/>
          <w:lang w:val="en-US" w:eastAsia="zh-CN"/>
        </w:rPr>
        <w:t>相关</w:t>
      </w:r>
      <w:r>
        <w:rPr>
          <w:rFonts w:hint="eastAsia"/>
        </w:rPr>
        <w:t>法律、法规、标准、规程的要求，并</w:t>
      </w:r>
      <w:r>
        <w:rPr>
          <w:rFonts w:hint="eastAsia"/>
          <w:lang w:val="en-US" w:eastAsia="zh-CN"/>
        </w:rPr>
        <w:t>覆盖：</w:t>
      </w:r>
    </w:p>
    <w:p>
      <w:pPr>
        <w:pStyle w:val="21"/>
        <w:numPr>
          <w:ilvl w:val="0"/>
          <w:numId w:val="51"/>
        </w:numPr>
        <w:ind w:left="420" w:leftChars="0" w:firstLine="0" w:firstLineChars="0"/>
        <w:rPr>
          <w:rFonts w:hint="eastAsia"/>
          <w:szCs w:val="22"/>
          <w:lang w:val="en-US" w:eastAsia="zh-CN"/>
        </w:rPr>
      </w:pPr>
      <w:r>
        <w:rPr>
          <w:rFonts w:hint="eastAsia"/>
          <w:szCs w:val="22"/>
          <w:lang w:val="en-US" w:eastAsia="zh-CN"/>
        </w:rPr>
        <w:t>生产作业内容；</w:t>
      </w:r>
    </w:p>
    <w:p>
      <w:pPr>
        <w:pStyle w:val="21"/>
        <w:numPr>
          <w:ilvl w:val="0"/>
          <w:numId w:val="51"/>
        </w:numPr>
        <w:ind w:left="420" w:leftChars="0" w:firstLine="0" w:firstLineChars="0"/>
        <w:rPr>
          <w:rFonts w:hint="eastAsia"/>
          <w:szCs w:val="22"/>
          <w:lang w:val="en-US" w:eastAsia="zh-CN"/>
        </w:rPr>
      </w:pPr>
      <w:r>
        <w:rPr>
          <w:rFonts w:hint="eastAsia"/>
          <w:szCs w:val="22"/>
          <w:lang w:val="en-US" w:eastAsia="zh-CN"/>
        </w:rPr>
        <w:t>操作人员；</w:t>
      </w:r>
    </w:p>
    <w:p>
      <w:pPr>
        <w:pStyle w:val="21"/>
        <w:numPr>
          <w:ilvl w:val="0"/>
          <w:numId w:val="51"/>
        </w:numPr>
        <w:ind w:left="420" w:leftChars="0" w:firstLine="0" w:firstLineChars="0"/>
        <w:rPr>
          <w:rFonts w:hint="eastAsia"/>
          <w:szCs w:val="22"/>
          <w:lang w:val="en-US" w:eastAsia="zh-CN"/>
        </w:rPr>
      </w:pPr>
      <w:r>
        <w:rPr>
          <w:rFonts w:hint="eastAsia"/>
          <w:szCs w:val="22"/>
          <w:lang w:val="en-US" w:eastAsia="zh-CN"/>
        </w:rPr>
        <w:t>周边作业环境。</w:t>
      </w:r>
    </w:p>
    <w:p>
      <w:pPr>
        <w:pStyle w:val="21"/>
        <w:rPr>
          <w:rFonts w:hint="eastAsia"/>
          <w:lang w:val="en-US" w:eastAsia="zh-CN"/>
        </w:rPr>
      </w:pPr>
      <w:r>
        <w:rPr>
          <w:rFonts w:hint="eastAsia"/>
          <w:lang w:val="en-US" w:eastAsia="zh-CN"/>
        </w:rPr>
        <w:t>企业应识别、分析、评价和控制施工机具风险，建立并完善施工机具安全操作规程。</w:t>
      </w:r>
    </w:p>
    <w:p>
      <w:pPr>
        <w:pStyle w:val="51"/>
        <w:tabs>
          <w:tab w:val="center" w:pos="4201"/>
          <w:tab w:val="right" w:leader="dot" w:pos="9298"/>
        </w:tabs>
        <w:ind w:firstLine="0" w:firstLineChars="0"/>
        <w:rPr>
          <w:rFonts w:hint="eastAsia"/>
          <w:lang w:val="en-US" w:eastAsia="zh-CN"/>
        </w:rPr>
      </w:pPr>
      <w:bookmarkStart w:id="198" w:name="_Toc29171"/>
      <w:bookmarkStart w:id="199" w:name="_Toc4409"/>
      <w:r>
        <w:rPr>
          <w:rFonts w:hint="eastAsia"/>
          <w:lang w:val="en-US" w:eastAsia="zh-CN"/>
        </w:rPr>
        <w:t>培训、使用与维护</w:t>
      </w:r>
      <w:bookmarkEnd w:id="198"/>
      <w:bookmarkEnd w:id="199"/>
    </w:p>
    <w:p>
      <w:pPr>
        <w:pStyle w:val="21"/>
        <w:rPr>
          <w:rFonts w:hint="eastAsia"/>
          <w:lang w:val="en-US" w:eastAsia="zh-CN"/>
        </w:rPr>
      </w:pPr>
      <w:r>
        <w:rPr>
          <w:rFonts w:hint="eastAsia"/>
          <w:lang w:val="en-US" w:eastAsia="zh-CN"/>
        </w:rPr>
        <w:t>企业采购或租赁的施工机具应符合相关法律法规要求，产品质量合格证明、使用和维护说明等相关资料齐全。</w:t>
      </w:r>
    </w:p>
    <w:p>
      <w:pPr>
        <w:pStyle w:val="21"/>
        <w:rPr>
          <w:rFonts w:hint="eastAsia"/>
          <w:lang w:val="en-US" w:eastAsia="zh-CN"/>
        </w:rPr>
      </w:pPr>
      <w:r>
        <w:rPr>
          <w:rFonts w:hint="eastAsia"/>
          <w:lang w:val="en-US" w:eastAsia="zh-CN"/>
        </w:rPr>
        <w:t>企业应根据生产工作性质与相应的风险选择、配置施工机具。</w:t>
      </w:r>
    </w:p>
    <w:p>
      <w:pPr>
        <w:pStyle w:val="21"/>
        <w:rPr>
          <w:rFonts w:hint="eastAsia"/>
          <w:lang w:val="en-US" w:eastAsia="zh-CN"/>
        </w:rPr>
      </w:pPr>
      <w:r>
        <w:rPr>
          <w:rFonts w:hint="eastAsia"/>
          <w:lang w:val="en-US" w:eastAsia="zh-CN"/>
        </w:rPr>
        <w:t>企业应对进场的施工机具与设施进行验收，并保存验收记录。</w:t>
      </w:r>
    </w:p>
    <w:p>
      <w:pPr>
        <w:pStyle w:val="21"/>
        <w:rPr>
          <w:rFonts w:hint="eastAsia"/>
          <w:lang w:val="en-US" w:eastAsia="zh-CN"/>
        </w:rPr>
      </w:pPr>
      <w:r>
        <w:rPr>
          <w:rFonts w:hint="eastAsia"/>
          <w:lang w:val="en-US" w:eastAsia="zh-CN"/>
        </w:rPr>
        <w:t>企业应根据风险，建立施工机具的使用、借用记录。</w:t>
      </w:r>
    </w:p>
    <w:p>
      <w:pPr>
        <w:pStyle w:val="21"/>
        <w:rPr>
          <w:rFonts w:hint="eastAsia"/>
          <w:lang w:val="en-US" w:eastAsia="zh-CN"/>
        </w:rPr>
      </w:pPr>
      <w:r>
        <w:rPr>
          <w:rFonts w:hint="eastAsia"/>
          <w:lang w:val="en-US" w:eastAsia="zh-CN"/>
        </w:rPr>
        <w:t>企业应组织有关人员进行施工机具的检查、使用、维护保养等知识与要求的培训。</w:t>
      </w:r>
    </w:p>
    <w:p>
      <w:pPr>
        <w:pStyle w:val="21"/>
        <w:rPr>
          <w:rFonts w:hint="eastAsia"/>
          <w:lang w:val="en-US" w:eastAsia="zh-CN"/>
        </w:rPr>
      </w:pPr>
      <w:r>
        <w:rPr>
          <w:rFonts w:hint="eastAsia"/>
          <w:lang w:val="en-US" w:eastAsia="zh-CN"/>
        </w:rPr>
        <w:t>施工机具使用前应执行检查并正确使用，不得违章操作。</w:t>
      </w:r>
    </w:p>
    <w:p>
      <w:pPr>
        <w:pStyle w:val="21"/>
        <w:rPr>
          <w:rFonts w:hint="default"/>
          <w:lang w:val="en-US" w:eastAsia="zh-CN"/>
        </w:rPr>
      </w:pPr>
      <w:r>
        <w:rPr>
          <w:rFonts w:hint="eastAsia"/>
          <w:lang w:val="en-US" w:eastAsia="zh-CN"/>
        </w:rPr>
        <w:t>企业应根据国家现行相关标准和管理制度的规定对施工机具进行定期维护与保养，确保其存放环境满足要求。</w:t>
      </w:r>
    </w:p>
    <w:p>
      <w:pPr>
        <w:pStyle w:val="21"/>
        <w:numPr>
          <w:ilvl w:val="0"/>
          <w:numId w:val="0"/>
        </w:numPr>
        <w:ind w:firstLine="420" w:firstLineChars="200"/>
        <w:rPr>
          <w:rFonts w:hint="eastAsia"/>
          <w:lang w:val="en-US" w:eastAsia="zh-CN"/>
        </w:rPr>
      </w:pPr>
      <w:r>
        <w:rPr>
          <w:rFonts w:hint="eastAsia"/>
          <w:lang w:val="en-US" w:eastAsia="zh-CN"/>
        </w:rPr>
        <w:t>企业应定期对施工机具维护保养情况的有效性进行检查验证，监督维护保养过程的规范性。</w:t>
      </w:r>
    </w:p>
    <w:p>
      <w:pPr>
        <w:pStyle w:val="51"/>
        <w:tabs>
          <w:tab w:val="center" w:pos="4201"/>
          <w:tab w:val="right" w:leader="dot" w:pos="9298"/>
        </w:tabs>
        <w:ind w:firstLine="0" w:firstLineChars="0"/>
        <w:rPr>
          <w:rFonts w:hint="eastAsia"/>
          <w:lang w:val="en-US" w:eastAsia="zh-CN"/>
        </w:rPr>
      </w:pPr>
      <w:bookmarkStart w:id="200" w:name="_Toc3707"/>
      <w:bookmarkStart w:id="201" w:name="_Toc19009"/>
      <w:r>
        <w:rPr>
          <w:rFonts w:hint="eastAsia"/>
          <w:lang w:val="en-US" w:eastAsia="zh-CN"/>
        </w:rPr>
        <w:t>检验与检查</w:t>
      </w:r>
      <w:bookmarkEnd w:id="200"/>
      <w:bookmarkEnd w:id="201"/>
    </w:p>
    <w:p>
      <w:pPr>
        <w:pStyle w:val="21"/>
        <w:numPr>
          <w:ilvl w:val="0"/>
          <w:numId w:val="0"/>
        </w:numPr>
        <w:ind w:firstLine="420" w:firstLineChars="200"/>
        <w:rPr>
          <w:rFonts w:hint="eastAsia"/>
          <w:lang w:val="en-US" w:eastAsia="zh-CN"/>
        </w:rPr>
      </w:pPr>
      <w:r>
        <w:rPr>
          <w:rFonts w:hint="eastAsia"/>
          <w:lang w:val="en-US" w:eastAsia="zh-CN"/>
        </w:rPr>
        <w:t>企业应识别需要定期检验的施工机具，并按标准实施检验或检查，保持其技术性能安全可靠，保存相应记录。</w:t>
      </w:r>
    </w:p>
    <w:p>
      <w:pPr>
        <w:pStyle w:val="21"/>
        <w:numPr>
          <w:ilvl w:val="0"/>
          <w:numId w:val="0"/>
        </w:numPr>
        <w:ind w:firstLine="420" w:firstLineChars="200"/>
        <w:rPr>
          <w:rFonts w:hint="eastAsia"/>
          <w:lang w:val="en-US" w:eastAsia="zh-CN"/>
        </w:rPr>
      </w:pPr>
      <w:r>
        <w:rPr>
          <w:rFonts w:hint="eastAsia"/>
          <w:lang w:val="en-US" w:eastAsia="zh-CN"/>
        </w:rPr>
        <w:t>委托的检验机构必须具备法定资格，标准或制度要求必须检验的施工机具未经检验或检验不合格的严禁使用并标识。</w:t>
      </w:r>
    </w:p>
    <w:p>
      <w:pPr>
        <w:pStyle w:val="21"/>
        <w:rPr>
          <w:rFonts w:hint="eastAsia"/>
          <w:lang w:val="en-US" w:eastAsia="zh-CN"/>
        </w:rPr>
      </w:pPr>
      <w:r>
        <w:rPr>
          <w:rFonts w:hint="eastAsia"/>
          <w:lang w:val="en-US" w:eastAsia="zh-CN"/>
        </w:rPr>
        <w:t>企业应对施工机具管理要求的依从性进行检查。</w:t>
      </w:r>
    </w:p>
    <w:p>
      <w:pPr>
        <w:pStyle w:val="51"/>
        <w:bidi w:val="0"/>
        <w:ind w:left="0" w:leftChars="0" w:firstLine="0" w:firstLineChars="0"/>
        <w:rPr>
          <w:rFonts w:hint="eastAsia"/>
          <w:lang w:val="en-US" w:eastAsia="zh-CN"/>
        </w:rPr>
      </w:pPr>
      <w:bookmarkStart w:id="202" w:name="_Toc26427"/>
      <w:bookmarkStart w:id="203" w:name="_Toc20866"/>
      <w:r>
        <w:rPr>
          <w:rFonts w:hint="eastAsia"/>
          <w:lang w:val="en-US" w:eastAsia="zh-CN"/>
        </w:rPr>
        <w:t>安装与拆除</w:t>
      </w:r>
      <w:bookmarkEnd w:id="202"/>
      <w:bookmarkEnd w:id="203"/>
    </w:p>
    <w:p>
      <w:pPr>
        <w:pStyle w:val="21"/>
        <w:rPr>
          <w:rFonts w:hint="eastAsia"/>
          <w:lang w:val="en-US" w:eastAsia="zh-CN"/>
        </w:rPr>
      </w:pPr>
      <w:r>
        <w:rPr>
          <w:rFonts w:hint="eastAsia"/>
          <w:lang w:val="en-US" w:eastAsia="zh-CN"/>
        </w:rPr>
        <w:t>施工机具的安装、拆除应符合国家现行相关标准的规定。</w:t>
      </w:r>
    </w:p>
    <w:p>
      <w:pPr>
        <w:pStyle w:val="21"/>
        <w:rPr>
          <w:rFonts w:hint="eastAsia"/>
          <w:lang w:val="en-US" w:eastAsia="zh-CN"/>
        </w:rPr>
      </w:pPr>
      <w:r>
        <w:rPr>
          <w:rFonts w:hint="eastAsia"/>
          <w:lang w:val="en-US" w:eastAsia="zh-CN"/>
        </w:rPr>
        <w:t>企业应针对危险性较大或技术复杂的工程，编制专项施工方案，经审批后组织实施。</w:t>
      </w:r>
    </w:p>
    <w:p>
      <w:pPr>
        <w:pStyle w:val="21"/>
        <w:rPr>
          <w:rFonts w:hint="eastAsia"/>
          <w:lang w:val="en-US" w:eastAsia="zh-CN"/>
        </w:rPr>
      </w:pPr>
      <w:r>
        <w:rPr>
          <w:rFonts w:hint="eastAsia"/>
          <w:lang w:val="en-US" w:eastAsia="zh-CN"/>
        </w:rPr>
        <w:t>企业应在安装、拆除作业前对相关人员进行交底，并保存相关记录。</w:t>
      </w:r>
    </w:p>
    <w:p>
      <w:pPr>
        <w:pStyle w:val="21"/>
        <w:rPr>
          <w:rFonts w:hint="eastAsia"/>
          <w:lang w:val="en-US" w:eastAsia="zh-CN"/>
        </w:rPr>
      </w:pPr>
      <w:r>
        <w:rPr>
          <w:rFonts w:hint="eastAsia"/>
          <w:lang w:val="en-US" w:eastAsia="zh-CN"/>
        </w:rPr>
        <w:t>施工机具的安装、拆除作业人员、操作人员、维护人员应培训合格。</w:t>
      </w:r>
    </w:p>
    <w:p>
      <w:pPr>
        <w:pStyle w:val="21"/>
        <w:rPr>
          <w:rFonts w:hint="eastAsia"/>
          <w:lang w:val="en-US" w:eastAsia="zh-CN"/>
        </w:rPr>
      </w:pPr>
      <w:r>
        <w:rPr>
          <w:rFonts w:hint="eastAsia"/>
          <w:lang w:val="en-US" w:eastAsia="zh-CN"/>
        </w:rPr>
        <w:t>企业应对各类人员的资格进行审核。</w:t>
      </w:r>
    </w:p>
    <w:p>
      <w:pPr>
        <w:pStyle w:val="21"/>
        <w:rPr>
          <w:rFonts w:hint="default"/>
          <w:lang w:val="en-US" w:eastAsia="zh-CN"/>
        </w:rPr>
      </w:pPr>
      <w:r>
        <w:rPr>
          <w:rFonts w:hint="eastAsia"/>
          <w:lang w:val="en-US" w:eastAsia="zh-CN"/>
        </w:rPr>
        <w:t>企业应在施工机具安装作业完成后对施工机具与设施进行检测和验收，未经检测验收或验收不合格的不得使用。</w:t>
      </w:r>
    </w:p>
    <w:p>
      <w:pPr>
        <w:pStyle w:val="21"/>
        <w:rPr>
          <w:rFonts w:hint="eastAsia"/>
          <w:lang w:val="en-US" w:eastAsia="zh-CN"/>
        </w:rPr>
      </w:pPr>
      <w:r>
        <w:rPr>
          <w:rFonts w:hint="eastAsia"/>
          <w:lang w:val="en-US" w:eastAsia="zh-CN"/>
        </w:rPr>
        <w:t>企业应保留成文信息，作为施工机具安装、拆除的证据。</w:t>
      </w:r>
    </w:p>
    <w:p>
      <w:pPr>
        <w:pStyle w:val="51"/>
        <w:bidi w:val="0"/>
        <w:ind w:left="0" w:leftChars="0" w:firstLine="0" w:firstLineChars="0"/>
        <w:rPr>
          <w:rFonts w:hint="eastAsia"/>
          <w:lang w:val="en-US" w:eastAsia="zh-CN"/>
        </w:rPr>
      </w:pPr>
      <w:bookmarkStart w:id="204" w:name="_Toc14760"/>
      <w:bookmarkStart w:id="205" w:name="_Toc25314"/>
      <w:r>
        <w:rPr>
          <w:rFonts w:hint="eastAsia"/>
          <w:lang w:val="en-US" w:eastAsia="zh-CN"/>
        </w:rPr>
        <w:t>报废</w:t>
      </w:r>
      <w:bookmarkEnd w:id="204"/>
      <w:bookmarkEnd w:id="205"/>
    </w:p>
    <w:p>
      <w:pPr>
        <w:pStyle w:val="21"/>
        <w:rPr>
          <w:rFonts w:hint="eastAsia"/>
          <w:lang w:val="en-US" w:eastAsia="zh-CN"/>
        </w:rPr>
      </w:pPr>
      <w:r>
        <w:rPr>
          <w:rFonts w:hint="eastAsia"/>
          <w:lang w:val="en-US" w:eastAsia="zh-CN"/>
        </w:rPr>
        <w:t>经试验、检验不符合国家或行业标准、超过有效使用期限或不能达到相关技术标准规定功能的施工机具应及时报废。</w:t>
      </w:r>
    </w:p>
    <w:p>
      <w:pPr>
        <w:pStyle w:val="21"/>
        <w:rPr>
          <w:rFonts w:hint="eastAsia"/>
          <w:lang w:val="en-US" w:eastAsia="zh-CN"/>
        </w:rPr>
      </w:pPr>
      <w:r>
        <w:rPr>
          <w:rFonts w:hint="eastAsia"/>
          <w:lang w:val="en-US" w:eastAsia="zh-CN"/>
        </w:rPr>
        <w:t>报废的施工机具应与合格的施工机具分开存放并标识。</w:t>
      </w:r>
    </w:p>
    <w:p>
      <w:pPr>
        <w:pStyle w:val="21"/>
        <w:rPr>
          <w:rFonts w:hint="eastAsia"/>
          <w:lang w:val="en-US" w:eastAsia="zh-CN"/>
        </w:rPr>
      </w:pPr>
      <w:r>
        <w:rPr>
          <w:rFonts w:hint="eastAsia"/>
          <w:lang w:val="en-US" w:eastAsia="zh-CN"/>
        </w:rPr>
        <w:t>企业应保留成文信息，作为施工机具报废的证据。</w:t>
      </w:r>
    </w:p>
    <w:p>
      <w:pPr>
        <w:pStyle w:val="94"/>
        <w:rPr>
          <w:rFonts w:hint="default"/>
          <w:szCs w:val="22"/>
          <w:lang w:val="en-US" w:eastAsia="zh-CN"/>
        </w:rPr>
      </w:pPr>
      <w:bookmarkStart w:id="206" w:name="_Toc16074"/>
      <w:bookmarkStart w:id="207" w:name="_Toc13639"/>
      <w:bookmarkStart w:id="208" w:name="_Toc15426"/>
      <w:r>
        <w:rPr>
          <w:rFonts w:hint="eastAsia"/>
          <w:szCs w:val="22"/>
          <w:lang w:val="en-US" w:eastAsia="zh-CN"/>
        </w:rPr>
        <w:t>物项</w:t>
      </w:r>
      <w:r>
        <w:rPr>
          <w:rFonts w:hint="default"/>
          <w:szCs w:val="22"/>
          <w:lang w:val="en-US" w:eastAsia="zh-CN"/>
        </w:rPr>
        <w:t>管理</w:t>
      </w:r>
      <w:bookmarkEnd w:id="206"/>
      <w:bookmarkEnd w:id="207"/>
      <w:bookmarkEnd w:id="208"/>
    </w:p>
    <w:p>
      <w:pPr>
        <w:pStyle w:val="51"/>
        <w:bidi w:val="0"/>
        <w:ind w:left="0" w:leftChars="0" w:firstLine="0" w:firstLineChars="0"/>
        <w:rPr>
          <w:rFonts w:hint="default"/>
          <w:lang w:val="en-US" w:eastAsia="zh-CN"/>
        </w:rPr>
      </w:pPr>
      <w:bookmarkStart w:id="209" w:name="_Toc11385"/>
      <w:bookmarkStart w:id="210" w:name="_Toc10922"/>
      <w:bookmarkStart w:id="211" w:name="_Toc3812"/>
      <w:r>
        <w:rPr>
          <w:rFonts w:hint="default"/>
          <w:lang w:val="en-US" w:eastAsia="zh-CN"/>
        </w:rPr>
        <w:t>采购</w:t>
      </w:r>
      <w:bookmarkEnd w:id="209"/>
      <w:bookmarkEnd w:id="210"/>
      <w:bookmarkEnd w:id="211"/>
    </w:p>
    <w:p>
      <w:pPr>
        <w:pStyle w:val="21"/>
        <w:rPr>
          <w:rFonts w:hint="eastAsia"/>
          <w:lang w:val="en-US" w:eastAsia="zh-CN"/>
        </w:rPr>
      </w:pPr>
      <w:r>
        <w:rPr>
          <w:rFonts w:hint="eastAsia"/>
          <w:lang w:val="en-US" w:eastAsia="zh-CN"/>
        </w:rPr>
        <w:t>企业应依据设计文件、国家现行相关标准和工程合同要求编制物项采购计划，明确采购方式、种类、规格、型号、数量、交付期、技术性能和质量标准、安全要求等，并经审批后组织实施。</w:t>
      </w:r>
    </w:p>
    <w:p>
      <w:pPr>
        <w:pStyle w:val="21"/>
        <w:rPr>
          <w:rFonts w:hint="eastAsia"/>
          <w:lang w:val="en-US" w:eastAsia="zh-CN"/>
        </w:rPr>
      </w:pPr>
      <w:r>
        <w:rPr>
          <w:rFonts w:hint="eastAsia"/>
          <w:lang w:val="en-US" w:eastAsia="zh-CN"/>
        </w:rPr>
        <w:t>企业应选择合适的供应商，并组织合格供方评审与评价工作。</w:t>
      </w:r>
    </w:p>
    <w:p>
      <w:pPr>
        <w:pStyle w:val="21"/>
        <w:rPr>
          <w:rFonts w:hint="eastAsia"/>
          <w:lang w:val="en-US" w:eastAsia="zh-CN"/>
        </w:rPr>
      </w:pPr>
      <w:r>
        <w:rPr>
          <w:rFonts w:hint="eastAsia"/>
          <w:lang w:val="en-US" w:eastAsia="zh-CN"/>
        </w:rPr>
        <w:t>物项采购前</w:t>
      </w:r>
      <w:r>
        <w:rPr>
          <w:rFonts w:hint="eastAsia"/>
          <w:highlight w:val="none"/>
          <w:lang w:val="en-US" w:eastAsia="zh-CN"/>
        </w:rPr>
        <w:t>应选择合适的采购方式进行招标采购工作</w:t>
      </w:r>
      <w:r>
        <w:rPr>
          <w:rFonts w:hint="eastAsia"/>
          <w:lang w:val="en-US" w:eastAsia="zh-CN"/>
        </w:rPr>
        <w:t>。</w:t>
      </w:r>
    </w:p>
    <w:p>
      <w:pPr>
        <w:pStyle w:val="21"/>
        <w:rPr>
          <w:rFonts w:hint="eastAsia"/>
          <w:lang w:val="en-US" w:eastAsia="zh-CN"/>
        </w:rPr>
      </w:pPr>
      <w:r>
        <w:rPr>
          <w:rFonts w:hint="eastAsia"/>
          <w:lang w:val="en-US" w:eastAsia="zh-CN"/>
        </w:rPr>
        <w:t>企业应保留成文信息，作为采购的证据。</w:t>
      </w:r>
    </w:p>
    <w:p>
      <w:pPr>
        <w:pStyle w:val="51"/>
        <w:bidi w:val="0"/>
        <w:ind w:left="0" w:leftChars="0" w:firstLine="0" w:firstLineChars="0"/>
        <w:rPr>
          <w:rFonts w:hint="default"/>
          <w:lang w:val="en-US" w:eastAsia="zh-CN"/>
        </w:rPr>
      </w:pPr>
      <w:bookmarkStart w:id="212" w:name="_Toc6450"/>
      <w:bookmarkStart w:id="213" w:name="_Toc27920"/>
      <w:bookmarkStart w:id="214" w:name="_Toc19345"/>
      <w:r>
        <w:rPr>
          <w:rFonts w:hint="default"/>
          <w:lang w:val="en-US" w:eastAsia="zh-CN"/>
        </w:rPr>
        <w:t>进场验收</w:t>
      </w:r>
      <w:bookmarkEnd w:id="212"/>
      <w:bookmarkEnd w:id="213"/>
      <w:bookmarkEnd w:id="214"/>
    </w:p>
    <w:p>
      <w:pPr>
        <w:pStyle w:val="21"/>
        <w:rPr>
          <w:rFonts w:hint="eastAsia"/>
          <w:lang w:val="en-US" w:eastAsia="zh-CN"/>
        </w:rPr>
      </w:pPr>
      <w:r>
        <w:rPr>
          <w:rFonts w:hint="eastAsia"/>
          <w:lang w:val="en-US" w:eastAsia="zh-CN"/>
        </w:rPr>
        <w:t>企业应对进场的物项进行验收，内容包括物项品种、规格、数量、质量等。</w:t>
      </w:r>
    </w:p>
    <w:p>
      <w:pPr>
        <w:pStyle w:val="21"/>
        <w:rPr>
          <w:rFonts w:hint="eastAsia"/>
          <w:lang w:val="en-US" w:eastAsia="zh-CN"/>
        </w:rPr>
      </w:pPr>
      <w:r>
        <w:rPr>
          <w:rFonts w:hint="eastAsia"/>
          <w:lang w:val="en-US" w:eastAsia="zh-CN"/>
        </w:rPr>
        <w:t>未经验收或验收不合格的物项，不得用于工程施工。</w:t>
      </w:r>
    </w:p>
    <w:p>
      <w:pPr>
        <w:pStyle w:val="21"/>
        <w:rPr>
          <w:rFonts w:hint="eastAsia"/>
          <w:lang w:val="en-US" w:eastAsia="zh-CN"/>
        </w:rPr>
      </w:pPr>
      <w:r>
        <w:rPr>
          <w:rFonts w:hint="eastAsia"/>
          <w:lang w:val="en-US" w:eastAsia="zh-CN"/>
        </w:rPr>
        <w:t>企业应对物项进场验收的内容、方法和时间进行控制，形成记录，并根据需求到供应商的现场进行验证。</w:t>
      </w:r>
    </w:p>
    <w:p>
      <w:pPr>
        <w:pStyle w:val="21"/>
        <w:rPr>
          <w:rFonts w:hint="eastAsia"/>
          <w:lang w:val="en-US" w:eastAsia="zh-CN"/>
        </w:rPr>
      </w:pPr>
      <w:r>
        <w:rPr>
          <w:rFonts w:hint="eastAsia"/>
          <w:lang w:val="en-US" w:eastAsia="zh-CN"/>
        </w:rPr>
        <w:t>企业应按工程合同约定对发包方提供的物项进行识别与验收，并保存相关记录。</w:t>
      </w:r>
    </w:p>
    <w:p>
      <w:pPr>
        <w:pStyle w:val="21"/>
        <w:rPr>
          <w:rFonts w:hint="eastAsia"/>
          <w:lang w:val="en-US" w:eastAsia="zh-CN"/>
        </w:rPr>
      </w:pPr>
      <w:r>
        <w:rPr>
          <w:rFonts w:hint="eastAsia"/>
          <w:lang w:val="en-US" w:eastAsia="zh-CN"/>
        </w:rPr>
        <w:t>经验收不合格的物项，企业应采取记录、标识、隔离的措施，防止其被误用的可能，并按规定的程序进行处理，记录处理结果。</w:t>
      </w:r>
    </w:p>
    <w:p>
      <w:pPr>
        <w:pStyle w:val="21"/>
        <w:rPr>
          <w:rFonts w:hint="eastAsia"/>
          <w:lang w:val="en-US" w:eastAsia="zh-CN"/>
        </w:rPr>
      </w:pPr>
      <w:r>
        <w:rPr>
          <w:rFonts w:hint="eastAsia"/>
          <w:lang w:val="en-US" w:eastAsia="zh-CN"/>
        </w:rPr>
        <w:t>当发现发包方提供的物项不符合设计要求和国家现行相关标准规定时，企业应向发包方报告，并进行处理，形成记录。</w:t>
      </w:r>
    </w:p>
    <w:p>
      <w:pPr>
        <w:pStyle w:val="21"/>
        <w:rPr>
          <w:rFonts w:hint="eastAsia"/>
          <w:lang w:val="en-US" w:eastAsia="zh-CN"/>
        </w:rPr>
      </w:pPr>
      <w:r>
        <w:rPr>
          <w:rFonts w:hint="eastAsia"/>
          <w:lang w:val="en-US" w:eastAsia="zh-CN"/>
        </w:rPr>
        <w:t>企业应保留成文信息，作为物项验收的证据。</w:t>
      </w:r>
    </w:p>
    <w:p>
      <w:pPr>
        <w:pStyle w:val="51"/>
        <w:bidi w:val="0"/>
        <w:ind w:left="0" w:leftChars="0" w:firstLine="0" w:firstLineChars="0"/>
        <w:rPr>
          <w:rFonts w:hint="default"/>
          <w:lang w:val="en-US" w:eastAsia="zh-CN"/>
        </w:rPr>
      </w:pPr>
      <w:bookmarkStart w:id="215" w:name="_Toc29310"/>
      <w:bookmarkStart w:id="216" w:name="_Toc24624"/>
      <w:bookmarkStart w:id="217" w:name="_Toc25678"/>
      <w:r>
        <w:rPr>
          <w:rFonts w:hint="default"/>
          <w:lang w:val="en-US" w:eastAsia="zh-CN"/>
        </w:rPr>
        <w:t>现场管理</w:t>
      </w:r>
      <w:bookmarkEnd w:id="215"/>
      <w:bookmarkEnd w:id="216"/>
      <w:bookmarkEnd w:id="217"/>
    </w:p>
    <w:p>
      <w:pPr>
        <w:pStyle w:val="21"/>
        <w:rPr>
          <w:rFonts w:hint="eastAsia"/>
          <w:lang w:val="en-US" w:eastAsia="zh-CN"/>
        </w:rPr>
      </w:pPr>
      <w:r>
        <w:rPr>
          <w:rFonts w:hint="eastAsia"/>
          <w:lang w:val="en-US" w:eastAsia="zh-CN"/>
        </w:rPr>
        <w:t>企业应对工程材料、构配件和设备的储存、保管、发放、使用、搬运、防护实施过程控制，并保存相关记录。</w:t>
      </w:r>
    </w:p>
    <w:p>
      <w:pPr>
        <w:pStyle w:val="21"/>
        <w:rPr>
          <w:rFonts w:hint="eastAsia"/>
          <w:lang w:val="en-US" w:eastAsia="zh-CN"/>
        </w:rPr>
      </w:pPr>
      <w:r>
        <w:rPr>
          <w:rFonts w:hint="eastAsia"/>
          <w:lang w:val="en-US" w:eastAsia="zh-CN"/>
        </w:rPr>
        <w:t>企业应对涉及工程结构安全、节能、环境保护和主要使用功能的物项进行标识，并具有可追溯性。</w:t>
      </w:r>
    </w:p>
    <w:p>
      <w:pPr>
        <w:pStyle w:val="21"/>
        <w:rPr>
          <w:rFonts w:hint="eastAsia"/>
          <w:lang w:val="en-US" w:eastAsia="zh-CN"/>
        </w:rPr>
      </w:pPr>
      <w:r>
        <w:rPr>
          <w:rFonts w:hint="eastAsia"/>
          <w:lang w:val="en-US" w:eastAsia="zh-CN"/>
        </w:rPr>
        <w:t>对物项的现场管理，企业应进行检查，宜分析和改进相关过程。</w:t>
      </w:r>
    </w:p>
    <w:p>
      <w:pPr>
        <w:pStyle w:val="21"/>
        <w:rPr>
          <w:rFonts w:hint="eastAsia"/>
          <w:color w:val="auto"/>
          <w:lang w:val="en-US" w:eastAsia="zh-CN"/>
        </w:rPr>
      </w:pPr>
      <w:r>
        <w:rPr>
          <w:rFonts w:hint="eastAsia"/>
          <w:color w:val="auto"/>
          <w:lang w:val="en-US" w:eastAsia="zh-CN"/>
        </w:rPr>
        <w:t>物项发生变更时，企业应按设计文件、工程合同和相关规定进行控制。</w:t>
      </w:r>
    </w:p>
    <w:p>
      <w:pPr>
        <w:pStyle w:val="21"/>
        <w:rPr>
          <w:rFonts w:hint="eastAsia"/>
          <w:color w:val="auto"/>
          <w:lang w:val="en-US" w:eastAsia="zh-CN"/>
        </w:rPr>
      </w:pPr>
      <w:r>
        <w:rPr>
          <w:rFonts w:hint="eastAsia"/>
          <w:color w:val="auto"/>
          <w:lang w:val="en-US" w:eastAsia="zh-CN"/>
        </w:rPr>
        <w:t>企业应保留成文信息，作为现场管理的证据。</w:t>
      </w:r>
    </w:p>
    <w:p>
      <w:pPr>
        <w:pStyle w:val="94"/>
        <w:rPr>
          <w:rFonts w:hint="default"/>
          <w:color w:val="auto"/>
          <w:szCs w:val="22"/>
          <w:lang w:val="en-US" w:eastAsia="zh-CN"/>
        </w:rPr>
      </w:pPr>
      <w:bookmarkStart w:id="218" w:name="_Toc30545"/>
      <w:bookmarkStart w:id="219" w:name="_Toc12757"/>
      <w:bookmarkStart w:id="220" w:name="_Toc14023"/>
      <w:r>
        <w:rPr>
          <w:rFonts w:hint="default"/>
          <w:color w:val="auto"/>
          <w:szCs w:val="22"/>
          <w:lang w:val="en-US" w:eastAsia="zh-CN"/>
        </w:rPr>
        <w:t>工程项目管理</w:t>
      </w:r>
      <w:bookmarkEnd w:id="218"/>
      <w:bookmarkEnd w:id="219"/>
      <w:bookmarkEnd w:id="220"/>
    </w:p>
    <w:p>
      <w:pPr>
        <w:pStyle w:val="51"/>
        <w:bidi w:val="0"/>
        <w:ind w:left="0" w:leftChars="0" w:firstLine="0" w:firstLineChars="0"/>
        <w:rPr>
          <w:rFonts w:hint="eastAsia"/>
          <w:color w:val="auto"/>
          <w:lang w:val="en-US" w:eastAsia="zh-CN"/>
        </w:rPr>
      </w:pPr>
      <w:bookmarkStart w:id="221" w:name="_Toc30708"/>
      <w:bookmarkStart w:id="222" w:name="_Toc12"/>
      <w:bookmarkStart w:id="223" w:name="_Toc11695"/>
      <w:r>
        <w:rPr>
          <w:rFonts w:hint="eastAsia"/>
          <w:color w:val="auto"/>
          <w:lang w:val="en-US" w:eastAsia="zh-CN"/>
        </w:rPr>
        <w:t>投标管理</w:t>
      </w:r>
      <w:bookmarkEnd w:id="221"/>
      <w:bookmarkEnd w:id="222"/>
    </w:p>
    <w:p>
      <w:pPr>
        <w:pStyle w:val="21"/>
        <w:rPr>
          <w:rFonts w:hint="eastAsia"/>
          <w:color w:val="auto"/>
          <w:lang w:val="en-US" w:eastAsia="zh-CN"/>
        </w:rPr>
      </w:pPr>
      <w:r>
        <w:rPr>
          <w:rFonts w:hint="eastAsia"/>
          <w:color w:val="auto"/>
          <w:lang w:val="en-US" w:eastAsia="zh-CN"/>
        </w:rPr>
        <w:t>企业需确保在投标前识别投标项目的有关要求，并通过适宜的方式（会议、网络、文件传递等）对这些要求进行评审，以确认是否有能力满足以下要求：</w:t>
      </w:r>
    </w:p>
    <w:p>
      <w:pPr>
        <w:pStyle w:val="21"/>
        <w:rPr>
          <w:rFonts w:hint="eastAsia"/>
          <w:color w:val="auto"/>
          <w:lang w:val="en-US" w:eastAsia="zh-CN"/>
        </w:rPr>
      </w:pPr>
      <w:r>
        <w:rPr>
          <w:rFonts w:hint="eastAsia"/>
          <w:color w:val="auto"/>
          <w:lang w:val="en-US" w:eastAsia="zh-CN"/>
        </w:rPr>
        <w:t>a）发包方的要求包括招标文件及合同在内的各种形式的要求。</w:t>
      </w:r>
    </w:p>
    <w:p>
      <w:pPr>
        <w:pStyle w:val="21"/>
        <w:rPr>
          <w:rFonts w:hint="eastAsia"/>
          <w:color w:val="auto"/>
          <w:lang w:val="en-US" w:eastAsia="zh-CN"/>
        </w:rPr>
      </w:pPr>
      <w:r>
        <w:rPr>
          <w:rFonts w:hint="eastAsia"/>
          <w:color w:val="auto"/>
          <w:lang w:val="en-US" w:eastAsia="zh-CN"/>
        </w:rPr>
        <w:t>b）发包方明示的要求是指发包方在招标文件及工程合同等文件中明确提出的要求（口头要求需形成文件）。</w:t>
      </w:r>
    </w:p>
    <w:p>
      <w:pPr>
        <w:pStyle w:val="21"/>
        <w:rPr>
          <w:rFonts w:hint="eastAsia"/>
          <w:color w:val="auto"/>
          <w:lang w:val="en-US" w:eastAsia="zh-CN"/>
        </w:rPr>
      </w:pPr>
      <w:r>
        <w:rPr>
          <w:rFonts w:hint="eastAsia"/>
          <w:color w:val="auto"/>
          <w:lang w:val="en-US" w:eastAsia="zh-CN"/>
        </w:rPr>
        <w:t>c）发包方未明示但应满足的要求是指需满足行业的技术或管理要求、与工程相关的法律法规、标准规范及施工企业自身设计、施工能力需足的要求。</w:t>
      </w:r>
    </w:p>
    <w:p>
      <w:pPr>
        <w:pStyle w:val="21"/>
        <w:rPr>
          <w:rFonts w:hint="eastAsia"/>
          <w:color w:val="auto"/>
          <w:lang w:val="en-US" w:eastAsia="zh-CN"/>
        </w:rPr>
      </w:pPr>
      <w:r>
        <w:rPr>
          <w:rFonts w:hint="eastAsia"/>
          <w:color w:val="auto"/>
          <w:lang w:val="en-US" w:eastAsia="zh-CN"/>
        </w:rPr>
        <w:t>企业需对投标过程进行监控，以确保合法实施投标活动。</w:t>
      </w:r>
    </w:p>
    <w:p>
      <w:pPr>
        <w:pStyle w:val="21"/>
        <w:rPr>
          <w:rFonts w:hint="eastAsia"/>
          <w:color w:val="auto"/>
          <w:lang w:val="en-US" w:eastAsia="zh-CN"/>
        </w:rPr>
      </w:pPr>
      <w:r>
        <w:rPr>
          <w:rFonts w:hint="eastAsia"/>
          <w:color w:val="auto"/>
          <w:lang w:val="en-US" w:eastAsia="zh-CN"/>
        </w:rPr>
        <w:t>在向发包方提供工程和服务承诺前，企业需评审：</w:t>
      </w:r>
    </w:p>
    <w:p>
      <w:pPr>
        <w:pStyle w:val="21"/>
        <w:numPr>
          <w:ilvl w:val="0"/>
          <w:numId w:val="0"/>
        </w:numPr>
        <w:ind w:left="420" w:leftChars="0"/>
        <w:rPr>
          <w:rFonts w:hint="eastAsia"/>
          <w:color w:val="auto"/>
          <w:szCs w:val="22"/>
          <w:lang w:val="en-US" w:eastAsia="zh-CN"/>
        </w:rPr>
      </w:pPr>
      <w:r>
        <w:rPr>
          <w:rFonts w:hint="eastAsia"/>
          <w:color w:val="auto"/>
          <w:szCs w:val="22"/>
          <w:lang w:val="en-US" w:eastAsia="zh-CN"/>
        </w:rPr>
        <w:t>——企业满足适用的安全生产法律法规、发包方和企业认为的必要要求的程度；</w:t>
      </w:r>
    </w:p>
    <w:p>
      <w:pPr>
        <w:pStyle w:val="21"/>
        <w:numPr>
          <w:ilvl w:val="0"/>
          <w:numId w:val="0"/>
        </w:numPr>
        <w:ind w:left="420" w:leftChars="0"/>
        <w:rPr>
          <w:rFonts w:hint="eastAsia"/>
          <w:color w:val="auto"/>
          <w:szCs w:val="22"/>
          <w:lang w:val="en-US" w:eastAsia="zh-CN"/>
        </w:rPr>
      </w:pPr>
      <w:r>
        <w:rPr>
          <w:rFonts w:hint="eastAsia"/>
          <w:color w:val="auto"/>
          <w:szCs w:val="22"/>
          <w:lang w:val="en-US" w:eastAsia="zh-CN"/>
        </w:rPr>
        <w:t>——企业安全改进能力能够应对风险和机遇的水平；</w:t>
      </w:r>
    </w:p>
    <w:p>
      <w:pPr>
        <w:pStyle w:val="21"/>
        <w:numPr>
          <w:ilvl w:val="0"/>
          <w:numId w:val="0"/>
        </w:numPr>
        <w:ind w:left="420" w:leftChars="0"/>
        <w:rPr>
          <w:rFonts w:hint="default"/>
          <w:color w:val="auto"/>
          <w:szCs w:val="22"/>
          <w:lang w:val="en-US" w:eastAsia="zh-CN"/>
        </w:rPr>
      </w:pPr>
      <w:r>
        <w:rPr>
          <w:rFonts w:hint="eastAsia"/>
          <w:color w:val="auto"/>
          <w:szCs w:val="22"/>
          <w:lang w:val="en-US" w:eastAsia="zh-CN"/>
        </w:rPr>
        <w:t>——企业的安健环表现及相关绩效指标；</w:t>
      </w:r>
    </w:p>
    <w:p>
      <w:pPr>
        <w:pStyle w:val="21"/>
        <w:numPr>
          <w:ilvl w:val="0"/>
          <w:numId w:val="0"/>
        </w:numPr>
        <w:ind w:left="420" w:leftChars="0"/>
        <w:rPr>
          <w:rFonts w:hint="default"/>
          <w:color w:val="auto"/>
          <w:szCs w:val="22"/>
          <w:lang w:val="en-US" w:eastAsia="zh-CN"/>
        </w:rPr>
      </w:pPr>
      <w:r>
        <w:rPr>
          <w:rFonts w:hint="eastAsia"/>
          <w:color w:val="auto"/>
          <w:szCs w:val="22"/>
          <w:lang w:val="en-US" w:eastAsia="zh-CN"/>
        </w:rPr>
        <w:t>——其他需要的内容。</w:t>
      </w:r>
    </w:p>
    <w:p>
      <w:pPr>
        <w:pStyle w:val="21"/>
        <w:numPr>
          <w:ilvl w:val="0"/>
          <w:numId w:val="0"/>
        </w:numPr>
        <w:ind w:firstLine="420" w:firstLineChars="200"/>
        <w:rPr>
          <w:rFonts w:hint="default"/>
          <w:color w:val="auto"/>
          <w:szCs w:val="22"/>
          <w:lang w:val="en-US" w:eastAsia="zh-CN"/>
        </w:rPr>
      </w:pPr>
      <w:r>
        <w:rPr>
          <w:rFonts w:hint="eastAsia"/>
          <w:color w:val="auto"/>
          <w:szCs w:val="22"/>
          <w:lang w:val="en-US" w:eastAsia="zh-CN"/>
        </w:rPr>
        <w:t>投标的有关记录需能为证实工程和安全符合要求提供必要的追溯和依据，</w:t>
      </w:r>
      <w:r>
        <w:rPr>
          <w:rFonts w:hint="eastAsia"/>
          <w:color w:val="auto"/>
          <w:lang w:val="en-US" w:eastAsia="zh-CN"/>
        </w:rPr>
        <w:t>企业应保留成文信息，作为其投标证据。</w:t>
      </w:r>
    </w:p>
    <w:p>
      <w:pPr>
        <w:pStyle w:val="51"/>
        <w:bidi w:val="0"/>
        <w:ind w:left="0" w:leftChars="0" w:firstLine="0" w:firstLineChars="0"/>
        <w:rPr>
          <w:rFonts w:hint="eastAsia"/>
          <w:color w:val="auto"/>
          <w:lang w:val="en-US" w:eastAsia="zh-CN"/>
        </w:rPr>
      </w:pPr>
      <w:bookmarkStart w:id="224" w:name="_Toc16228"/>
      <w:bookmarkStart w:id="225" w:name="_Toc17649"/>
      <w:r>
        <w:rPr>
          <w:rFonts w:hint="eastAsia"/>
          <w:color w:val="auto"/>
          <w:lang w:val="en-US" w:eastAsia="zh-CN"/>
        </w:rPr>
        <w:t>合同管理</w:t>
      </w:r>
      <w:bookmarkEnd w:id="224"/>
      <w:bookmarkEnd w:id="225"/>
    </w:p>
    <w:p>
      <w:pPr>
        <w:pStyle w:val="51"/>
        <w:numPr>
          <w:ilvl w:val="0"/>
          <w:numId w:val="0"/>
        </w:numPr>
        <w:tabs>
          <w:tab w:val="center" w:pos="4201"/>
          <w:tab w:val="right" w:leader="dot" w:pos="9298"/>
        </w:tabs>
        <w:rPr>
          <w:rFonts w:hint="eastAsia"/>
          <w:color w:val="auto"/>
          <w:lang w:val="en-US" w:eastAsia="zh-CN"/>
        </w:rPr>
      </w:pPr>
      <w:bookmarkStart w:id="226" w:name="_Toc26899"/>
      <w:bookmarkStart w:id="227" w:name="_Toc15740"/>
      <w:r>
        <w:rPr>
          <w:rFonts w:hint="eastAsia"/>
          <w:color w:val="auto"/>
          <w:lang w:val="en-US" w:eastAsia="zh-CN"/>
        </w:rPr>
        <w:t>11.2.1 合同签订</w:t>
      </w:r>
      <w:bookmarkEnd w:id="226"/>
      <w:bookmarkEnd w:id="227"/>
    </w:p>
    <w:p>
      <w:pPr>
        <w:pStyle w:val="21"/>
        <w:ind w:left="0" w:leftChars="0" w:firstLine="420" w:firstLineChars="200"/>
        <w:rPr>
          <w:rFonts w:hint="eastAsia"/>
          <w:color w:val="auto"/>
          <w:lang w:val="en-US" w:eastAsia="zh-CN"/>
        </w:rPr>
      </w:pPr>
      <w:r>
        <w:rPr>
          <w:rFonts w:hint="eastAsia"/>
          <w:color w:val="auto"/>
          <w:lang w:val="en-US" w:eastAsia="zh-CN"/>
        </w:rPr>
        <w:t>企业应制定合同管理制度，通过对工程项目合同的管理，确保充分了解顾客及相关方对工程项目施工和服务质量、安全等要求，并有能力实现这些要求。</w:t>
      </w:r>
    </w:p>
    <w:p>
      <w:pPr>
        <w:pStyle w:val="21"/>
        <w:numPr>
          <w:ilvl w:val="0"/>
          <w:numId w:val="0"/>
        </w:numPr>
        <w:ind w:left="420" w:leftChars="0"/>
        <w:rPr>
          <w:rFonts w:hint="eastAsia"/>
          <w:color w:val="auto"/>
          <w:szCs w:val="22"/>
          <w:lang w:val="en-US" w:eastAsia="zh-CN"/>
        </w:rPr>
      </w:pPr>
      <w:r>
        <w:rPr>
          <w:rFonts w:hint="eastAsia"/>
          <w:color w:val="auto"/>
          <w:szCs w:val="22"/>
          <w:lang w:val="en-US" w:eastAsia="zh-CN"/>
        </w:rPr>
        <w:t>企业应依法签订正式的供货、工程或服务合同，合同至少应明确下列内容：</w:t>
      </w:r>
    </w:p>
    <w:p>
      <w:pPr>
        <w:pStyle w:val="21"/>
        <w:numPr>
          <w:ilvl w:val="0"/>
          <w:numId w:val="52"/>
        </w:numPr>
        <w:ind w:left="420" w:leftChars="0" w:firstLine="0" w:firstLineChars="0"/>
        <w:rPr>
          <w:rFonts w:hint="eastAsia"/>
          <w:color w:val="auto"/>
          <w:szCs w:val="22"/>
          <w:lang w:val="en-US" w:eastAsia="zh-CN"/>
        </w:rPr>
      </w:pPr>
      <w:r>
        <w:rPr>
          <w:rFonts w:hint="eastAsia"/>
          <w:color w:val="auto"/>
          <w:szCs w:val="22"/>
          <w:lang w:val="en-US" w:eastAsia="zh-CN"/>
        </w:rPr>
        <w:t>需依从的法律法规和技术标准；</w:t>
      </w:r>
    </w:p>
    <w:p>
      <w:pPr>
        <w:pStyle w:val="21"/>
        <w:numPr>
          <w:ilvl w:val="0"/>
          <w:numId w:val="52"/>
        </w:numPr>
        <w:ind w:left="420" w:leftChars="0" w:firstLine="0" w:firstLineChars="0"/>
        <w:rPr>
          <w:rFonts w:hint="eastAsia"/>
          <w:color w:val="auto"/>
          <w:szCs w:val="22"/>
          <w:lang w:val="en-US" w:eastAsia="zh-CN"/>
        </w:rPr>
      </w:pPr>
      <w:r>
        <w:rPr>
          <w:rFonts w:hint="eastAsia"/>
          <w:color w:val="auto"/>
          <w:szCs w:val="22"/>
          <w:lang w:val="en-US" w:eastAsia="zh-CN"/>
        </w:rPr>
        <w:t>必须遵守的安全生产要求；</w:t>
      </w:r>
    </w:p>
    <w:p>
      <w:pPr>
        <w:pStyle w:val="21"/>
        <w:numPr>
          <w:ilvl w:val="0"/>
          <w:numId w:val="52"/>
        </w:numPr>
        <w:ind w:left="420" w:leftChars="0" w:firstLine="0" w:firstLineChars="0"/>
        <w:rPr>
          <w:rFonts w:hint="eastAsia"/>
          <w:color w:val="auto"/>
          <w:szCs w:val="22"/>
          <w:lang w:val="en-US" w:eastAsia="zh-CN"/>
        </w:rPr>
      </w:pPr>
      <w:r>
        <w:rPr>
          <w:rFonts w:hint="eastAsia"/>
          <w:color w:val="auto"/>
          <w:szCs w:val="22"/>
          <w:lang w:val="en-US" w:eastAsia="zh-CN"/>
        </w:rPr>
        <w:t>双方的责任和义务；</w:t>
      </w:r>
    </w:p>
    <w:p>
      <w:pPr>
        <w:pStyle w:val="21"/>
        <w:numPr>
          <w:ilvl w:val="0"/>
          <w:numId w:val="52"/>
        </w:numPr>
        <w:ind w:left="420" w:leftChars="0" w:firstLine="0" w:firstLineChars="0"/>
        <w:rPr>
          <w:rFonts w:hint="eastAsia"/>
          <w:color w:val="auto"/>
          <w:szCs w:val="22"/>
          <w:lang w:val="en-US" w:eastAsia="zh-CN"/>
        </w:rPr>
      </w:pPr>
      <w:r>
        <w:rPr>
          <w:rFonts w:hint="eastAsia"/>
          <w:color w:val="auto"/>
          <w:szCs w:val="22"/>
          <w:lang w:val="en-US" w:eastAsia="zh-CN"/>
        </w:rPr>
        <w:t>争议事项的解决方案和仲裁方式。</w:t>
      </w:r>
    </w:p>
    <w:p>
      <w:pPr>
        <w:pStyle w:val="21"/>
        <w:rPr>
          <w:rFonts w:hint="eastAsia"/>
          <w:color w:val="auto"/>
          <w:lang w:val="en-US" w:eastAsia="zh-CN"/>
        </w:rPr>
      </w:pPr>
      <w:r>
        <w:rPr>
          <w:rFonts w:hint="eastAsia"/>
          <w:color w:val="auto"/>
          <w:lang w:val="en-US" w:eastAsia="zh-CN"/>
        </w:rPr>
        <w:t>企业应通过合同交底或其他信息传递的方式，确保相关人员掌握合同的内容和要求。</w:t>
      </w:r>
    </w:p>
    <w:p>
      <w:pPr>
        <w:pStyle w:val="51"/>
        <w:numPr>
          <w:ilvl w:val="0"/>
          <w:numId w:val="0"/>
        </w:numPr>
        <w:tabs>
          <w:tab w:val="center" w:pos="4201"/>
          <w:tab w:val="right" w:leader="dot" w:pos="9298"/>
        </w:tabs>
        <w:rPr>
          <w:rFonts w:hint="eastAsia"/>
          <w:color w:val="auto"/>
          <w:lang w:val="en-US" w:eastAsia="zh-CN"/>
        </w:rPr>
      </w:pPr>
      <w:bookmarkStart w:id="228" w:name="_Toc4298"/>
      <w:bookmarkStart w:id="229" w:name="_Toc17362"/>
      <w:r>
        <w:rPr>
          <w:rFonts w:hint="eastAsia"/>
          <w:color w:val="auto"/>
          <w:lang w:val="en-US" w:eastAsia="zh-CN"/>
        </w:rPr>
        <w:t>11.2.2 合同变更</w:t>
      </w:r>
      <w:bookmarkEnd w:id="228"/>
      <w:bookmarkEnd w:id="229"/>
    </w:p>
    <w:p>
      <w:pPr>
        <w:pStyle w:val="21"/>
        <w:rPr>
          <w:rFonts w:hint="eastAsia"/>
          <w:color w:val="auto"/>
          <w:szCs w:val="22"/>
          <w:lang w:val="en-US" w:eastAsia="zh-CN"/>
        </w:rPr>
      </w:pPr>
      <w:r>
        <w:rPr>
          <w:rFonts w:hint="eastAsia"/>
          <w:color w:val="auto"/>
          <w:szCs w:val="22"/>
          <w:lang w:val="en-US" w:eastAsia="zh-CN"/>
        </w:rPr>
        <w:t>施工过程中产生的变更包括来自发包方、勘察设计、监理单位的变更以及企业提出的、经认可的变更。</w:t>
      </w:r>
    </w:p>
    <w:p>
      <w:pPr>
        <w:pStyle w:val="21"/>
        <w:rPr>
          <w:rFonts w:hint="eastAsia"/>
          <w:color w:val="auto"/>
          <w:szCs w:val="22"/>
          <w:lang w:val="en-US" w:eastAsia="zh-CN"/>
        </w:rPr>
      </w:pPr>
      <w:r>
        <w:rPr>
          <w:rFonts w:hint="eastAsia"/>
          <w:color w:val="auto"/>
          <w:szCs w:val="22"/>
          <w:lang w:val="en-US" w:eastAsia="zh-CN"/>
        </w:rPr>
        <w:t>在履约过程中，企业需随时收集与工程项目有关的要求变更的信息，包括：法律法规要求、工程合同及本企业要求的变更，并：</w:t>
      </w:r>
    </w:p>
    <w:p>
      <w:pPr>
        <w:pStyle w:val="21"/>
        <w:rPr>
          <w:rFonts w:hint="eastAsia"/>
          <w:color w:val="auto"/>
          <w:szCs w:val="22"/>
          <w:lang w:val="en-US" w:eastAsia="zh-CN"/>
        </w:rPr>
      </w:pPr>
      <w:r>
        <w:rPr>
          <w:rFonts w:hint="eastAsia"/>
          <w:color w:val="auto"/>
          <w:szCs w:val="22"/>
          <w:lang w:val="en-US" w:eastAsia="zh-CN"/>
        </w:rPr>
        <w:t>a）与发包方或其代表进行沟通，内容包括：合同的履约情况、工程的变更信息、发包方反馈、发包方财产的处置和控制、制定有关应急措施的特定要求等。</w:t>
      </w:r>
    </w:p>
    <w:p>
      <w:pPr>
        <w:pStyle w:val="21"/>
        <w:rPr>
          <w:rFonts w:hint="eastAsia"/>
          <w:color w:val="auto"/>
          <w:szCs w:val="22"/>
          <w:lang w:val="en-US" w:eastAsia="zh-CN"/>
        </w:rPr>
      </w:pPr>
      <w:r>
        <w:rPr>
          <w:rFonts w:hint="eastAsia"/>
          <w:color w:val="auto"/>
          <w:szCs w:val="22"/>
          <w:lang w:val="en-US" w:eastAsia="zh-CN"/>
        </w:rPr>
        <w:t>b）确定相关方（监理、勘察、设计、供应、分包等）需求。</w:t>
      </w:r>
    </w:p>
    <w:p>
      <w:pPr>
        <w:pStyle w:val="21"/>
        <w:rPr>
          <w:rFonts w:hint="eastAsia"/>
          <w:color w:val="auto"/>
          <w:szCs w:val="22"/>
          <w:lang w:val="en-US" w:eastAsia="zh-CN"/>
        </w:rPr>
      </w:pPr>
      <w:r>
        <w:rPr>
          <w:rFonts w:hint="eastAsia"/>
          <w:color w:val="auto"/>
          <w:szCs w:val="22"/>
          <w:lang w:val="en-US" w:eastAsia="zh-CN"/>
        </w:rPr>
        <w:t>合同履行过程中发生变更，其变更的内容、程序应符合相关约定，企业应以书面形式签认，并作为合同的组成部分。</w:t>
      </w:r>
    </w:p>
    <w:p>
      <w:pPr>
        <w:pStyle w:val="21"/>
        <w:rPr>
          <w:rFonts w:hint="eastAsia"/>
          <w:color w:val="auto"/>
          <w:szCs w:val="22"/>
          <w:lang w:val="en-US" w:eastAsia="zh-CN"/>
        </w:rPr>
      </w:pPr>
      <w:r>
        <w:rPr>
          <w:rFonts w:hint="eastAsia"/>
          <w:color w:val="auto"/>
          <w:szCs w:val="22"/>
          <w:lang w:val="en-US" w:eastAsia="zh-CN"/>
        </w:rPr>
        <w:t>企业应对合同变更过程及变更所产生的风险和隐患及时进行识别、分析、评价和控制，并在规定范围内传递合同变更后的内容和要求。必要时，应修改相应的工程项目文件。</w:t>
      </w:r>
    </w:p>
    <w:p>
      <w:pPr>
        <w:pStyle w:val="51"/>
        <w:bidi w:val="0"/>
        <w:ind w:left="0" w:leftChars="0" w:firstLine="0" w:firstLineChars="0"/>
        <w:rPr>
          <w:rFonts w:hint="default"/>
          <w:color w:val="auto"/>
          <w:lang w:val="en-US" w:eastAsia="zh-CN"/>
        </w:rPr>
      </w:pPr>
      <w:bookmarkStart w:id="230" w:name="_Toc3521"/>
      <w:bookmarkStart w:id="231" w:name="_Toc16226"/>
      <w:r>
        <w:rPr>
          <w:rFonts w:hint="eastAsia"/>
          <w:color w:val="auto"/>
          <w:lang w:val="en-US" w:eastAsia="zh-CN"/>
        </w:rPr>
        <w:t>项目</w:t>
      </w:r>
      <w:r>
        <w:rPr>
          <w:rFonts w:hint="default"/>
          <w:color w:val="auto"/>
          <w:lang w:val="en-US" w:eastAsia="zh-CN"/>
        </w:rPr>
        <w:t>策划</w:t>
      </w:r>
      <w:bookmarkEnd w:id="223"/>
      <w:bookmarkEnd w:id="230"/>
      <w:bookmarkEnd w:id="231"/>
    </w:p>
    <w:p>
      <w:pPr>
        <w:pStyle w:val="21"/>
        <w:rPr>
          <w:rFonts w:hint="eastAsia"/>
          <w:color w:val="auto"/>
          <w:lang w:val="en-US" w:eastAsia="zh-CN"/>
        </w:rPr>
      </w:pPr>
      <w:r>
        <w:rPr>
          <w:rFonts w:hint="eastAsia"/>
          <w:color w:val="auto"/>
          <w:lang w:val="en-US" w:eastAsia="zh-CN"/>
        </w:rPr>
        <w:t>企业应收集工程项目管理策划所需的信息。</w:t>
      </w:r>
    </w:p>
    <w:p>
      <w:pPr>
        <w:pStyle w:val="21"/>
        <w:rPr>
          <w:rFonts w:hint="eastAsia"/>
          <w:color w:val="auto"/>
          <w:lang w:val="en-US" w:eastAsia="zh-CN"/>
        </w:rPr>
      </w:pPr>
      <w:r>
        <w:rPr>
          <w:rFonts w:hint="eastAsia"/>
          <w:color w:val="auto"/>
          <w:lang w:val="en-US" w:eastAsia="zh-CN"/>
        </w:rPr>
        <w:t>企业应实施工程项目管理策划，编制项目施工所需文件，并明确下列策划内容：</w:t>
      </w:r>
    </w:p>
    <w:p>
      <w:pPr>
        <w:pStyle w:val="21"/>
        <w:numPr>
          <w:ilvl w:val="0"/>
          <w:numId w:val="53"/>
        </w:numPr>
        <w:ind w:left="420" w:leftChars="0" w:firstLine="0" w:firstLineChars="0"/>
        <w:rPr>
          <w:rFonts w:hint="eastAsia"/>
          <w:color w:val="auto"/>
          <w:szCs w:val="22"/>
          <w:lang w:val="en-US" w:eastAsia="zh-CN"/>
        </w:rPr>
      </w:pPr>
      <w:r>
        <w:rPr>
          <w:rFonts w:hint="eastAsia"/>
          <w:color w:val="auto"/>
          <w:szCs w:val="22"/>
          <w:lang w:val="en-US" w:eastAsia="zh-CN"/>
        </w:rPr>
        <w:t>质量、环境、安全目标；</w:t>
      </w:r>
    </w:p>
    <w:p>
      <w:pPr>
        <w:pStyle w:val="21"/>
        <w:numPr>
          <w:ilvl w:val="0"/>
          <w:numId w:val="53"/>
        </w:numPr>
        <w:ind w:left="420" w:leftChars="0" w:firstLine="0" w:firstLineChars="0"/>
        <w:rPr>
          <w:rFonts w:hint="eastAsia"/>
          <w:color w:val="auto"/>
          <w:szCs w:val="22"/>
          <w:lang w:val="en-US" w:eastAsia="zh-CN"/>
        </w:rPr>
      </w:pPr>
      <w:r>
        <w:rPr>
          <w:rFonts w:hint="eastAsia"/>
          <w:color w:val="auto"/>
          <w:szCs w:val="22"/>
          <w:lang w:val="en-US" w:eastAsia="zh-CN"/>
        </w:rPr>
        <w:t>项目组织机构及安全管理人员、安全员等资格及职责、任职要求；</w:t>
      </w:r>
    </w:p>
    <w:p>
      <w:pPr>
        <w:pStyle w:val="21"/>
        <w:numPr>
          <w:ilvl w:val="0"/>
          <w:numId w:val="53"/>
        </w:numPr>
        <w:ind w:left="420" w:leftChars="0" w:firstLine="0" w:firstLineChars="0"/>
        <w:rPr>
          <w:rFonts w:hint="eastAsia"/>
          <w:color w:val="auto"/>
          <w:szCs w:val="22"/>
          <w:lang w:val="en-US" w:eastAsia="zh-CN"/>
        </w:rPr>
      </w:pPr>
      <w:r>
        <w:rPr>
          <w:rFonts w:hint="eastAsia"/>
          <w:color w:val="auto"/>
          <w:szCs w:val="22"/>
          <w:lang w:val="en-US" w:eastAsia="zh-CN"/>
        </w:rPr>
        <w:t>影响工程的风险因素和相关设计、施工工艺及施工活动识别、分析与评价；</w:t>
      </w:r>
    </w:p>
    <w:p>
      <w:pPr>
        <w:pStyle w:val="21"/>
        <w:numPr>
          <w:ilvl w:val="0"/>
          <w:numId w:val="53"/>
        </w:numPr>
        <w:ind w:left="420" w:leftChars="0" w:firstLine="0" w:firstLineChars="0"/>
        <w:rPr>
          <w:rFonts w:hint="eastAsia"/>
          <w:color w:val="auto"/>
          <w:szCs w:val="22"/>
          <w:lang w:val="en-US" w:eastAsia="zh-CN"/>
        </w:rPr>
      </w:pPr>
      <w:r>
        <w:rPr>
          <w:rFonts w:hint="eastAsia"/>
          <w:color w:val="auto"/>
          <w:szCs w:val="22"/>
          <w:lang w:val="en-US" w:eastAsia="zh-CN"/>
        </w:rPr>
        <w:t>人员、技术、施工机具及设施资源的需求和配置；</w:t>
      </w:r>
    </w:p>
    <w:p>
      <w:pPr>
        <w:pStyle w:val="21"/>
        <w:numPr>
          <w:ilvl w:val="0"/>
          <w:numId w:val="53"/>
        </w:numPr>
        <w:ind w:left="420" w:leftChars="0" w:firstLine="0" w:firstLineChars="0"/>
        <w:rPr>
          <w:rFonts w:hint="eastAsia"/>
          <w:color w:val="auto"/>
          <w:szCs w:val="22"/>
          <w:lang w:val="en-US" w:eastAsia="zh-CN"/>
        </w:rPr>
      </w:pPr>
      <w:r>
        <w:rPr>
          <w:rFonts w:hint="eastAsia"/>
          <w:color w:val="auto"/>
          <w:szCs w:val="22"/>
          <w:lang w:val="en-US" w:eastAsia="zh-CN"/>
        </w:rPr>
        <w:t>进度计划及偏差控制措施；</w:t>
      </w:r>
    </w:p>
    <w:p>
      <w:pPr>
        <w:pStyle w:val="21"/>
        <w:numPr>
          <w:ilvl w:val="0"/>
          <w:numId w:val="53"/>
        </w:numPr>
        <w:ind w:left="420" w:leftChars="0" w:firstLine="0" w:firstLineChars="0"/>
        <w:rPr>
          <w:rFonts w:hint="eastAsia"/>
          <w:szCs w:val="22"/>
          <w:lang w:val="en-US" w:eastAsia="zh-CN"/>
        </w:rPr>
      </w:pPr>
      <w:r>
        <w:rPr>
          <w:rFonts w:hint="eastAsia"/>
          <w:color w:val="auto"/>
          <w:szCs w:val="22"/>
          <w:lang w:val="en-US" w:eastAsia="zh-CN"/>
        </w:rPr>
        <w:t>施工技术措施和采用新技术、新工艺、</w:t>
      </w:r>
      <w:r>
        <w:rPr>
          <w:rFonts w:hint="eastAsia"/>
          <w:szCs w:val="22"/>
          <w:lang w:val="en-US" w:eastAsia="zh-CN"/>
        </w:rPr>
        <w:t>新材料、新设备的专项方法；</w:t>
      </w:r>
    </w:p>
    <w:p>
      <w:pPr>
        <w:pStyle w:val="21"/>
        <w:numPr>
          <w:ilvl w:val="0"/>
          <w:numId w:val="53"/>
        </w:numPr>
        <w:ind w:left="420" w:leftChars="0" w:firstLine="0" w:firstLineChars="0"/>
        <w:rPr>
          <w:rFonts w:hint="eastAsia"/>
          <w:szCs w:val="22"/>
          <w:lang w:val="en-US" w:eastAsia="zh-CN"/>
        </w:rPr>
      </w:pPr>
      <w:r>
        <w:rPr>
          <w:rFonts w:hint="eastAsia"/>
          <w:szCs w:val="22"/>
          <w:lang w:val="en-US" w:eastAsia="zh-CN"/>
        </w:rPr>
        <w:t>工程设计、施工安全检查和验收计划；</w:t>
      </w:r>
    </w:p>
    <w:p>
      <w:pPr>
        <w:pStyle w:val="21"/>
        <w:numPr>
          <w:ilvl w:val="0"/>
          <w:numId w:val="53"/>
        </w:numPr>
        <w:ind w:left="420" w:leftChars="0" w:firstLine="0" w:firstLineChars="0"/>
        <w:rPr>
          <w:rFonts w:hint="eastAsia"/>
          <w:szCs w:val="22"/>
          <w:lang w:val="en-US" w:eastAsia="zh-CN"/>
        </w:rPr>
      </w:pPr>
      <w:r>
        <w:rPr>
          <w:rFonts w:hint="eastAsia"/>
          <w:szCs w:val="22"/>
          <w:lang w:val="en-US" w:eastAsia="zh-CN"/>
        </w:rPr>
        <w:t>安全问题及违规事件的报告和处理；</w:t>
      </w:r>
    </w:p>
    <w:p>
      <w:pPr>
        <w:pStyle w:val="21"/>
        <w:numPr>
          <w:ilvl w:val="0"/>
          <w:numId w:val="53"/>
        </w:numPr>
        <w:ind w:left="420" w:leftChars="0" w:firstLine="0" w:firstLineChars="0"/>
        <w:rPr>
          <w:rFonts w:hint="eastAsia"/>
          <w:szCs w:val="22"/>
          <w:lang w:val="en-US" w:eastAsia="zh-CN"/>
        </w:rPr>
      </w:pPr>
      <w:r>
        <w:rPr>
          <w:rFonts w:hint="eastAsia"/>
          <w:szCs w:val="22"/>
          <w:lang w:val="en-US" w:eastAsia="zh-CN"/>
        </w:rPr>
        <w:t>突发事件的应急处置；</w:t>
      </w:r>
    </w:p>
    <w:p>
      <w:pPr>
        <w:pStyle w:val="21"/>
        <w:numPr>
          <w:ilvl w:val="0"/>
          <w:numId w:val="53"/>
        </w:numPr>
        <w:ind w:left="420" w:leftChars="0" w:firstLine="0" w:firstLineChars="0"/>
        <w:rPr>
          <w:rFonts w:hint="eastAsia"/>
          <w:szCs w:val="22"/>
          <w:lang w:val="en-US" w:eastAsia="zh-CN"/>
        </w:rPr>
      </w:pPr>
      <w:r>
        <w:rPr>
          <w:rFonts w:hint="eastAsia"/>
          <w:szCs w:val="22"/>
          <w:lang w:val="en-US" w:eastAsia="zh-CN"/>
        </w:rPr>
        <w:t>信息、记录及传递要求；</w:t>
      </w:r>
    </w:p>
    <w:p>
      <w:pPr>
        <w:pStyle w:val="21"/>
        <w:numPr>
          <w:ilvl w:val="0"/>
          <w:numId w:val="53"/>
        </w:numPr>
        <w:ind w:left="420" w:leftChars="0" w:firstLine="0" w:firstLineChars="0"/>
        <w:rPr>
          <w:rFonts w:hint="default"/>
          <w:szCs w:val="22"/>
          <w:lang w:val="en-US" w:eastAsia="zh-CN"/>
        </w:rPr>
      </w:pPr>
      <w:r>
        <w:rPr>
          <w:rFonts w:hint="eastAsia"/>
          <w:szCs w:val="22"/>
          <w:lang w:val="en-US" w:eastAsia="zh-CN"/>
        </w:rPr>
        <w:t>与工程建设相关方的沟通、协调方式；</w:t>
      </w:r>
    </w:p>
    <w:p>
      <w:pPr>
        <w:pStyle w:val="21"/>
        <w:numPr>
          <w:ilvl w:val="0"/>
          <w:numId w:val="53"/>
        </w:numPr>
        <w:ind w:left="420" w:leftChars="0" w:firstLine="0" w:firstLineChars="0"/>
        <w:rPr>
          <w:rFonts w:hint="default"/>
          <w:szCs w:val="22"/>
          <w:lang w:val="en-US" w:eastAsia="zh-CN"/>
        </w:rPr>
      </w:pPr>
      <w:r>
        <w:rPr>
          <w:rFonts w:hint="eastAsia"/>
          <w:szCs w:val="22"/>
          <w:lang w:val="en-US" w:eastAsia="zh-CN"/>
        </w:rPr>
        <w:t>应对风险的专项措施；</w:t>
      </w:r>
    </w:p>
    <w:p>
      <w:pPr>
        <w:pStyle w:val="21"/>
        <w:numPr>
          <w:ilvl w:val="0"/>
          <w:numId w:val="53"/>
        </w:numPr>
        <w:ind w:left="420" w:leftChars="0" w:firstLine="0" w:firstLineChars="0"/>
        <w:rPr>
          <w:rFonts w:hint="default"/>
          <w:szCs w:val="22"/>
          <w:lang w:val="en-US" w:eastAsia="zh-CN"/>
        </w:rPr>
      </w:pPr>
      <w:r>
        <w:rPr>
          <w:rFonts w:hint="eastAsia"/>
          <w:szCs w:val="22"/>
          <w:lang w:val="en-US" w:eastAsia="zh-CN"/>
        </w:rPr>
        <w:t>安全控制措施；</w:t>
      </w:r>
    </w:p>
    <w:p>
      <w:pPr>
        <w:pStyle w:val="21"/>
        <w:numPr>
          <w:ilvl w:val="0"/>
          <w:numId w:val="53"/>
        </w:numPr>
        <w:ind w:left="420" w:leftChars="0" w:firstLine="0" w:firstLineChars="0"/>
        <w:rPr>
          <w:rFonts w:hint="default"/>
          <w:szCs w:val="22"/>
          <w:lang w:val="en-US" w:eastAsia="zh-CN"/>
        </w:rPr>
      </w:pPr>
      <w:r>
        <w:rPr>
          <w:rFonts w:hint="eastAsia"/>
          <w:szCs w:val="22"/>
          <w:lang w:val="en-US" w:eastAsia="zh-CN"/>
        </w:rPr>
        <w:t>工程施工其他要求。</w:t>
      </w:r>
    </w:p>
    <w:p>
      <w:pPr>
        <w:pStyle w:val="21"/>
        <w:numPr>
          <w:ilvl w:val="0"/>
          <w:numId w:val="0"/>
        </w:numPr>
        <w:ind w:left="420" w:leftChars="0"/>
        <w:rPr>
          <w:rFonts w:hint="eastAsia"/>
          <w:szCs w:val="22"/>
          <w:lang w:val="en-US" w:eastAsia="zh-CN"/>
        </w:rPr>
      </w:pPr>
      <w:r>
        <w:rPr>
          <w:rFonts w:hint="eastAsia"/>
          <w:szCs w:val="22"/>
          <w:lang w:val="en-US" w:eastAsia="zh-CN"/>
        </w:rPr>
        <w:t>工程项目管理策划的结果应经审批后方可实施。</w:t>
      </w:r>
    </w:p>
    <w:p>
      <w:pPr>
        <w:pStyle w:val="21"/>
        <w:numPr>
          <w:ilvl w:val="0"/>
          <w:numId w:val="0"/>
        </w:numPr>
        <w:ind w:firstLine="420" w:firstLineChars="200"/>
        <w:rPr>
          <w:rFonts w:hint="default"/>
          <w:szCs w:val="22"/>
          <w:lang w:val="en-US" w:eastAsia="zh-CN"/>
        </w:rPr>
      </w:pPr>
      <w:r>
        <w:rPr>
          <w:rFonts w:hint="eastAsia"/>
          <w:szCs w:val="22"/>
          <w:lang w:val="en-US" w:eastAsia="zh-CN"/>
        </w:rPr>
        <w:t>企业应对项目管理策划的结果实施动态管理，控制策划的更改过程，评审变更的风险和机遇，调整相关策划结果并监督实施。</w:t>
      </w:r>
    </w:p>
    <w:p>
      <w:pPr>
        <w:pStyle w:val="21"/>
        <w:rPr>
          <w:rFonts w:hint="default"/>
          <w:lang w:val="en-US" w:eastAsia="zh-CN"/>
        </w:rPr>
      </w:pPr>
      <w:r>
        <w:rPr>
          <w:rFonts w:hint="eastAsia"/>
          <w:lang w:val="en-US" w:eastAsia="zh-CN"/>
        </w:rPr>
        <w:t>企业应保留成文信息，作为策划结果的证据。</w:t>
      </w:r>
    </w:p>
    <w:p>
      <w:pPr>
        <w:pStyle w:val="51"/>
        <w:bidi w:val="0"/>
        <w:ind w:left="0" w:leftChars="0" w:firstLine="0" w:firstLineChars="0"/>
        <w:rPr>
          <w:rFonts w:hint="default"/>
          <w:lang w:val="en-US" w:eastAsia="zh-CN"/>
        </w:rPr>
      </w:pPr>
      <w:bookmarkStart w:id="232" w:name="_Toc26920"/>
      <w:bookmarkStart w:id="233" w:name="_Toc28895"/>
      <w:bookmarkStart w:id="234" w:name="_Toc12213"/>
      <w:r>
        <w:rPr>
          <w:rFonts w:hint="default"/>
          <w:lang w:val="en-US" w:eastAsia="zh-CN"/>
        </w:rPr>
        <w:t>工程设计</w:t>
      </w:r>
      <w:bookmarkEnd w:id="232"/>
      <w:bookmarkEnd w:id="233"/>
      <w:bookmarkEnd w:id="234"/>
    </w:p>
    <w:p>
      <w:pPr>
        <w:pStyle w:val="21"/>
        <w:rPr>
          <w:rFonts w:hint="eastAsia"/>
          <w:lang w:val="en-US" w:eastAsia="zh-CN"/>
        </w:rPr>
      </w:pPr>
      <w:r>
        <w:rPr>
          <w:rFonts w:hint="eastAsia"/>
          <w:lang w:val="en-US" w:eastAsia="zh-CN"/>
        </w:rPr>
        <w:t>企业应建立工程设计管理制度，按设计文件和合同约定进行工程设计，并对工程设计质量和安全进行控制。</w:t>
      </w:r>
    </w:p>
    <w:p>
      <w:pPr>
        <w:pStyle w:val="21"/>
        <w:rPr>
          <w:rFonts w:hint="eastAsia"/>
          <w:lang w:val="en-US" w:eastAsia="zh-CN"/>
        </w:rPr>
      </w:pPr>
      <w:r>
        <w:rPr>
          <w:rFonts w:hint="eastAsia"/>
          <w:lang w:val="en-US" w:eastAsia="zh-CN"/>
        </w:rPr>
        <w:t>企业应明确工程设计的依据，对其内容进行校对、审核，并保存相关记录。</w:t>
      </w:r>
    </w:p>
    <w:p>
      <w:pPr>
        <w:pStyle w:val="21"/>
        <w:rPr>
          <w:rFonts w:hint="eastAsia"/>
          <w:lang w:val="en-US" w:eastAsia="zh-CN"/>
        </w:rPr>
      </w:pPr>
      <w:r>
        <w:rPr>
          <w:rFonts w:hint="eastAsia"/>
          <w:lang w:val="en-US" w:eastAsia="zh-CN"/>
        </w:rPr>
        <w:t>企业应按设计策划安排对工程设计进行评审、验证和确认。评审、验证和确认记录应予以保存。</w:t>
      </w:r>
    </w:p>
    <w:p>
      <w:pPr>
        <w:pStyle w:val="21"/>
        <w:rPr>
          <w:rFonts w:hint="eastAsia"/>
          <w:lang w:val="en-US" w:eastAsia="zh-CN"/>
        </w:rPr>
      </w:pPr>
      <w:r>
        <w:rPr>
          <w:rFonts w:hint="eastAsia"/>
          <w:lang w:val="en-US" w:eastAsia="zh-CN"/>
        </w:rPr>
        <w:t>设计结果应满足实现预期目的，保证结构安全和使用功能所需的工程和服务特性，符合合同要求，并形成文件，经审批后使用。</w:t>
      </w:r>
    </w:p>
    <w:p>
      <w:pPr>
        <w:pStyle w:val="21"/>
        <w:rPr>
          <w:rFonts w:hint="default"/>
          <w:lang w:val="en-US" w:eastAsia="zh-CN"/>
        </w:rPr>
      </w:pPr>
      <w:r>
        <w:rPr>
          <w:rFonts w:hint="eastAsia"/>
          <w:lang w:val="en-US" w:eastAsia="zh-CN"/>
        </w:rPr>
        <w:t>企业应明确设计变更及其授权要求和批准方式，规定变更所需的评审、验证和确认程序，并保存相关记录。</w:t>
      </w:r>
    </w:p>
    <w:p>
      <w:pPr>
        <w:pStyle w:val="51"/>
        <w:bidi w:val="0"/>
        <w:ind w:left="0" w:leftChars="0" w:firstLine="0" w:firstLineChars="0"/>
        <w:rPr>
          <w:rFonts w:hint="default"/>
          <w:lang w:val="en-US" w:eastAsia="zh-CN"/>
        </w:rPr>
      </w:pPr>
      <w:bookmarkStart w:id="235" w:name="_Toc31547"/>
      <w:bookmarkStart w:id="236" w:name="_Toc5643"/>
      <w:bookmarkStart w:id="237" w:name="_Toc25186"/>
      <w:r>
        <w:rPr>
          <w:rFonts w:hint="default"/>
          <w:lang w:val="en-US" w:eastAsia="zh-CN"/>
        </w:rPr>
        <w:t>施工准备</w:t>
      </w:r>
      <w:bookmarkEnd w:id="235"/>
      <w:bookmarkEnd w:id="236"/>
      <w:bookmarkEnd w:id="237"/>
    </w:p>
    <w:p>
      <w:pPr>
        <w:pStyle w:val="21"/>
        <w:rPr>
          <w:rFonts w:hint="eastAsia"/>
          <w:lang w:val="en-US" w:eastAsia="zh-CN"/>
        </w:rPr>
      </w:pPr>
      <w:r>
        <w:rPr>
          <w:rFonts w:hint="eastAsia"/>
          <w:lang w:val="en-US" w:eastAsia="zh-CN"/>
        </w:rPr>
        <w:t>企业应依据工程项目管理策划的结果进行施工准备。</w:t>
      </w:r>
    </w:p>
    <w:p>
      <w:pPr>
        <w:pStyle w:val="21"/>
        <w:rPr>
          <w:rFonts w:hint="eastAsia"/>
          <w:lang w:val="en-US" w:eastAsia="zh-CN"/>
        </w:rPr>
      </w:pPr>
      <w:r>
        <w:rPr>
          <w:rFonts w:hint="eastAsia"/>
          <w:lang w:val="en-US" w:eastAsia="zh-CN"/>
        </w:rPr>
        <w:t>企业应根据约定接收设计文件、参加设计交底和图纸会审，并对结果进行确认。</w:t>
      </w:r>
    </w:p>
    <w:p>
      <w:pPr>
        <w:pStyle w:val="21"/>
        <w:rPr>
          <w:rFonts w:hint="eastAsia"/>
          <w:lang w:val="en-US" w:eastAsia="zh-CN"/>
        </w:rPr>
      </w:pPr>
      <w:r>
        <w:rPr>
          <w:rFonts w:hint="eastAsia"/>
          <w:lang w:val="en-US" w:eastAsia="zh-CN"/>
        </w:rPr>
        <w:t>企业应确认施工现场已具备开工条件，进行报审、报验，提出开工申请，经批准后方可开工。</w:t>
      </w:r>
    </w:p>
    <w:p>
      <w:pPr>
        <w:pStyle w:val="21"/>
        <w:rPr>
          <w:rFonts w:hint="default"/>
          <w:lang w:val="en-US" w:eastAsia="zh-CN"/>
        </w:rPr>
      </w:pPr>
      <w:r>
        <w:rPr>
          <w:rFonts w:hint="eastAsia"/>
          <w:lang w:val="en-US" w:eastAsia="zh-CN"/>
        </w:rPr>
        <w:t>企业应对工程项目管理策划结果进行交底，并应明确交底的层次、阶段及相应的对象、内容和方式，保存适当记录。</w:t>
      </w:r>
    </w:p>
    <w:p>
      <w:pPr>
        <w:pStyle w:val="51"/>
        <w:bidi w:val="0"/>
        <w:ind w:left="0" w:leftChars="0" w:firstLine="0" w:firstLineChars="0"/>
        <w:rPr>
          <w:rFonts w:hint="default"/>
          <w:lang w:val="en-US" w:eastAsia="zh-CN"/>
        </w:rPr>
      </w:pPr>
      <w:bookmarkStart w:id="238" w:name="_Toc31066"/>
      <w:bookmarkStart w:id="239" w:name="_Toc26372"/>
      <w:bookmarkStart w:id="240" w:name="_Toc18073"/>
      <w:r>
        <w:rPr>
          <w:rFonts w:hint="eastAsia"/>
          <w:lang w:val="en-US" w:eastAsia="zh-CN"/>
        </w:rPr>
        <w:t>质量管理</w:t>
      </w:r>
      <w:bookmarkEnd w:id="238"/>
      <w:bookmarkEnd w:id="239"/>
      <w:bookmarkEnd w:id="240"/>
    </w:p>
    <w:p>
      <w:pPr>
        <w:pStyle w:val="51"/>
        <w:numPr>
          <w:ilvl w:val="1"/>
          <w:numId w:val="0"/>
        </w:numPr>
        <w:bidi w:val="0"/>
        <w:ind w:leftChars="0"/>
        <w:rPr>
          <w:rFonts w:hint="default"/>
          <w:lang w:val="en-US" w:eastAsia="zh-CN"/>
        </w:rPr>
      </w:pPr>
      <w:bookmarkStart w:id="241" w:name="_Toc29330"/>
      <w:bookmarkStart w:id="242" w:name="_Toc15626"/>
      <w:bookmarkStart w:id="243" w:name="_Toc1209"/>
      <w:r>
        <w:rPr>
          <w:rFonts w:hint="eastAsia"/>
          <w:lang w:val="en-US" w:eastAsia="zh-CN"/>
        </w:rPr>
        <w:t>11.6.1质量保证</w:t>
      </w:r>
      <w:bookmarkEnd w:id="241"/>
      <w:bookmarkEnd w:id="242"/>
      <w:bookmarkEnd w:id="243"/>
    </w:p>
    <w:p>
      <w:pPr>
        <w:pStyle w:val="21"/>
        <w:rPr>
          <w:rFonts w:hint="eastAsia"/>
          <w:lang w:val="en-US" w:eastAsia="zh-CN"/>
        </w:rPr>
      </w:pPr>
      <w:r>
        <w:rPr>
          <w:rFonts w:hint="eastAsia"/>
          <w:lang w:val="en-US" w:eastAsia="zh-CN"/>
        </w:rPr>
        <w:t>企业应对施工过程进行控制，通过下列活动保证工程质量：</w:t>
      </w:r>
    </w:p>
    <w:p>
      <w:pPr>
        <w:pStyle w:val="21"/>
        <w:numPr>
          <w:ilvl w:val="0"/>
          <w:numId w:val="54"/>
        </w:numPr>
        <w:ind w:left="420" w:leftChars="0" w:firstLine="0" w:firstLineChars="0"/>
        <w:rPr>
          <w:rFonts w:hint="eastAsia"/>
          <w:szCs w:val="22"/>
          <w:lang w:val="en-US" w:eastAsia="zh-CN"/>
        </w:rPr>
      </w:pPr>
      <w:r>
        <w:rPr>
          <w:rFonts w:hint="eastAsia"/>
          <w:szCs w:val="22"/>
          <w:lang w:val="en-US" w:eastAsia="zh-CN"/>
        </w:rPr>
        <w:t>正确使用工程设计文件、施工规范和验收标准，适用时，对施工过程实施样板引路；</w:t>
      </w:r>
    </w:p>
    <w:p>
      <w:pPr>
        <w:pStyle w:val="21"/>
        <w:numPr>
          <w:ilvl w:val="0"/>
          <w:numId w:val="54"/>
        </w:numPr>
        <w:ind w:left="420" w:leftChars="0" w:firstLine="0" w:firstLineChars="0"/>
        <w:rPr>
          <w:rFonts w:hint="eastAsia"/>
          <w:szCs w:val="22"/>
          <w:lang w:val="en-US" w:eastAsia="zh-CN"/>
        </w:rPr>
      </w:pPr>
      <w:r>
        <w:rPr>
          <w:rFonts w:hint="eastAsia"/>
          <w:szCs w:val="22"/>
          <w:lang w:val="en-US" w:eastAsia="zh-CN"/>
        </w:rPr>
        <w:t>调配合格的操作人员；</w:t>
      </w:r>
    </w:p>
    <w:p>
      <w:pPr>
        <w:pStyle w:val="21"/>
        <w:numPr>
          <w:ilvl w:val="0"/>
          <w:numId w:val="54"/>
        </w:numPr>
        <w:ind w:left="420" w:leftChars="0" w:firstLine="0" w:firstLineChars="0"/>
        <w:rPr>
          <w:rFonts w:hint="eastAsia"/>
          <w:szCs w:val="22"/>
          <w:lang w:val="en-US" w:eastAsia="zh-CN"/>
        </w:rPr>
      </w:pPr>
      <w:r>
        <w:rPr>
          <w:rFonts w:hint="eastAsia"/>
          <w:szCs w:val="22"/>
          <w:lang w:val="en-US" w:eastAsia="zh-CN"/>
        </w:rPr>
        <w:t>配备和使用工程材料、构配件和设备、施工机具、检测设备；</w:t>
      </w:r>
    </w:p>
    <w:p>
      <w:pPr>
        <w:pStyle w:val="21"/>
        <w:numPr>
          <w:ilvl w:val="0"/>
          <w:numId w:val="54"/>
        </w:numPr>
        <w:ind w:left="420" w:leftChars="0" w:firstLine="0" w:firstLineChars="0"/>
        <w:rPr>
          <w:rFonts w:hint="eastAsia"/>
          <w:szCs w:val="22"/>
          <w:lang w:val="en-US" w:eastAsia="zh-CN"/>
        </w:rPr>
      </w:pPr>
      <w:r>
        <w:rPr>
          <w:rFonts w:hint="eastAsia"/>
          <w:szCs w:val="22"/>
          <w:lang w:val="en-US" w:eastAsia="zh-CN"/>
        </w:rPr>
        <w:t>进行施工和检查；</w:t>
      </w:r>
    </w:p>
    <w:p>
      <w:pPr>
        <w:pStyle w:val="21"/>
        <w:numPr>
          <w:ilvl w:val="0"/>
          <w:numId w:val="54"/>
        </w:numPr>
        <w:ind w:left="420" w:leftChars="0" w:firstLine="0" w:firstLineChars="0"/>
        <w:rPr>
          <w:rFonts w:hint="eastAsia"/>
          <w:szCs w:val="22"/>
          <w:lang w:val="en-US" w:eastAsia="zh-CN"/>
        </w:rPr>
      </w:pPr>
      <w:r>
        <w:rPr>
          <w:rFonts w:hint="eastAsia"/>
          <w:szCs w:val="22"/>
          <w:lang w:val="en-US" w:eastAsia="zh-CN"/>
        </w:rPr>
        <w:t>对施工作业环境进行控制；</w:t>
      </w:r>
    </w:p>
    <w:p>
      <w:pPr>
        <w:pStyle w:val="21"/>
        <w:numPr>
          <w:ilvl w:val="0"/>
          <w:numId w:val="54"/>
        </w:numPr>
        <w:ind w:left="420" w:leftChars="0" w:firstLine="0" w:firstLineChars="0"/>
        <w:rPr>
          <w:rFonts w:hint="eastAsia"/>
          <w:szCs w:val="22"/>
          <w:lang w:val="en-US" w:eastAsia="zh-CN"/>
        </w:rPr>
      </w:pPr>
      <w:r>
        <w:rPr>
          <w:rFonts w:hint="eastAsia"/>
          <w:szCs w:val="22"/>
          <w:lang w:val="en-US" w:eastAsia="zh-CN"/>
        </w:rPr>
        <w:t>合理安排施工进度；</w:t>
      </w:r>
    </w:p>
    <w:p>
      <w:pPr>
        <w:pStyle w:val="21"/>
        <w:numPr>
          <w:ilvl w:val="0"/>
          <w:numId w:val="54"/>
        </w:numPr>
        <w:ind w:left="420" w:leftChars="0" w:firstLine="0" w:firstLineChars="0"/>
        <w:rPr>
          <w:rFonts w:hint="eastAsia"/>
          <w:szCs w:val="22"/>
          <w:lang w:val="en-US" w:eastAsia="zh-CN"/>
        </w:rPr>
      </w:pPr>
      <w:r>
        <w:rPr>
          <w:rFonts w:hint="eastAsia"/>
          <w:szCs w:val="22"/>
          <w:lang w:val="en-US" w:eastAsia="zh-CN"/>
        </w:rPr>
        <w:t>对成品、半成品采取保护措施；</w:t>
      </w:r>
    </w:p>
    <w:p>
      <w:pPr>
        <w:pStyle w:val="21"/>
        <w:numPr>
          <w:ilvl w:val="0"/>
          <w:numId w:val="54"/>
        </w:numPr>
        <w:ind w:left="420" w:leftChars="0" w:firstLine="0" w:firstLineChars="0"/>
        <w:rPr>
          <w:rFonts w:hint="eastAsia"/>
          <w:szCs w:val="22"/>
          <w:lang w:val="en-US" w:eastAsia="zh-CN"/>
        </w:rPr>
      </w:pPr>
      <w:r>
        <w:rPr>
          <w:rFonts w:hint="eastAsia"/>
          <w:szCs w:val="22"/>
          <w:lang w:val="en-US" w:eastAsia="zh-CN"/>
        </w:rPr>
        <w:t>对突发事件实施应急响应与监控；</w:t>
      </w:r>
    </w:p>
    <w:p>
      <w:pPr>
        <w:pStyle w:val="21"/>
        <w:numPr>
          <w:ilvl w:val="0"/>
          <w:numId w:val="54"/>
        </w:numPr>
        <w:ind w:left="420" w:leftChars="0" w:firstLine="0" w:firstLineChars="0"/>
        <w:rPr>
          <w:rFonts w:hint="eastAsia"/>
          <w:szCs w:val="22"/>
          <w:lang w:val="en-US" w:eastAsia="zh-CN"/>
        </w:rPr>
      </w:pPr>
      <w:r>
        <w:rPr>
          <w:rFonts w:hint="eastAsia"/>
          <w:szCs w:val="22"/>
          <w:lang w:val="en-US" w:eastAsia="zh-CN"/>
        </w:rPr>
        <w:t>对能力不足的施工过程进行监控；</w:t>
      </w:r>
    </w:p>
    <w:p>
      <w:pPr>
        <w:pStyle w:val="21"/>
        <w:numPr>
          <w:ilvl w:val="0"/>
          <w:numId w:val="54"/>
        </w:numPr>
        <w:ind w:left="420" w:leftChars="0" w:firstLine="0" w:firstLineChars="0"/>
        <w:rPr>
          <w:rFonts w:hint="eastAsia"/>
          <w:szCs w:val="22"/>
          <w:lang w:val="en-US" w:eastAsia="zh-CN"/>
        </w:rPr>
      </w:pPr>
      <w:r>
        <w:rPr>
          <w:rFonts w:hint="eastAsia"/>
          <w:szCs w:val="22"/>
          <w:lang w:val="en-US" w:eastAsia="zh-CN"/>
        </w:rPr>
        <w:t>确保分包方的施工过程得到控制；</w:t>
      </w:r>
    </w:p>
    <w:p>
      <w:pPr>
        <w:pStyle w:val="21"/>
        <w:numPr>
          <w:ilvl w:val="0"/>
          <w:numId w:val="54"/>
        </w:numPr>
        <w:ind w:left="420" w:leftChars="0" w:firstLine="0" w:firstLineChars="0"/>
        <w:rPr>
          <w:rFonts w:hint="eastAsia"/>
          <w:szCs w:val="22"/>
          <w:lang w:val="en-US" w:eastAsia="zh-CN"/>
        </w:rPr>
      </w:pPr>
      <w:r>
        <w:rPr>
          <w:rFonts w:hint="eastAsia"/>
          <w:szCs w:val="22"/>
          <w:lang w:val="en-US" w:eastAsia="zh-CN"/>
        </w:rPr>
        <w:t>采取措施防止人为错误；</w:t>
      </w:r>
    </w:p>
    <w:p>
      <w:pPr>
        <w:pStyle w:val="21"/>
        <w:numPr>
          <w:ilvl w:val="0"/>
          <w:numId w:val="54"/>
        </w:numPr>
        <w:ind w:left="420" w:leftChars="0" w:firstLine="0" w:firstLineChars="0"/>
        <w:rPr>
          <w:rFonts w:hint="default"/>
          <w:szCs w:val="22"/>
          <w:lang w:val="en-US" w:eastAsia="zh-CN"/>
        </w:rPr>
      </w:pPr>
      <w:r>
        <w:rPr>
          <w:rFonts w:hint="eastAsia"/>
          <w:szCs w:val="22"/>
          <w:lang w:val="en-US" w:eastAsia="zh-CN"/>
        </w:rPr>
        <w:t>保证各项变更满足规定要求。</w:t>
      </w:r>
    </w:p>
    <w:p>
      <w:pPr>
        <w:pStyle w:val="51"/>
        <w:numPr>
          <w:ilvl w:val="1"/>
          <w:numId w:val="0"/>
        </w:numPr>
        <w:bidi w:val="0"/>
        <w:ind w:leftChars="0"/>
        <w:rPr>
          <w:rFonts w:hint="default"/>
          <w:lang w:val="en-US" w:eastAsia="zh-CN"/>
        </w:rPr>
      </w:pPr>
      <w:bookmarkStart w:id="244" w:name="_Toc32259"/>
      <w:bookmarkStart w:id="245" w:name="_Toc2888"/>
      <w:bookmarkStart w:id="246" w:name="_Toc26378"/>
      <w:r>
        <w:rPr>
          <w:rFonts w:hint="eastAsia"/>
          <w:lang w:val="en-US" w:eastAsia="zh-CN"/>
        </w:rPr>
        <w:t>11.6.2过程确认</w:t>
      </w:r>
      <w:bookmarkEnd w:id="244"/>
      <w:bookmarkEnd w:id="245"/>
      <w:bookmarkEnd w:id="246"/>
    </w:p>
    <w:p>
      <w:pPr>
        <w:pStyle w:val="21"/>
        <w:numPr>
          <w:ilvl w:val="0"/>
          <w:numId w:val="0"/>
        </w:numPr>
        <w:ind w:firstLine="420" w:firstLineChars="200"/>
        <w:rPr>
          <w:rFonts w:hint="eastAsia"/>
          <w:szCs w:val="22"/>
          <w:lang w:val="en-US" w:eastAsia="zh-CN"/>
        </w:rPr>
      </w:pPr>
      <w:r>
        <w:rPr>
          <w:rFonts w:hint="eastAsia"/>
          <w:szCs w:val="22"/>
          <w:lang w:val="en-US" w:eastAsia="zh-CN"/>
        </w:rPr>
        <w:t>当施工过程的结果不能通过其后工程的检验和试验完全验证时，企业应在工程实施前或实施中进行下列确认：</w:t>
      </w:r>
    </w:p>
    <w:p>
      <w:pPr>
        <w:pStyle w:val="21"/>
        <w:numPr>
          <w:ilvl w:val="0"/>
          <w:numId w:val="55"/>
        </w:numPr>
        <w:ind w:left="420" w:leftChars="0" w:firstLine="0" w:firstLineChars="0"/>
        <w:rPr>
          <w:rFonts w:hint="eastAsia"/>
          <w:szCs w:val="22"/>
          <w:lang w:val="en-US" w:eastAsia="zh-CN"/>
        </w:rPr>
      </w:pPr>
      <w:r>
        <w:rPr>
          <w:rFonts w:hint="eastAsia"/>
          <w:szCs w:val="22"/>
          <w:lang w:val="en-US" w:eastAsia="zh-CN"/>
        </w:rPr>
        <w:t>对技术文件和工艺进行评审；</w:t>
      </w:r>
    </w:p>
    <w:p>
      <w:pPr>
        <w:pStyle w:val="21"/>
        <w:numPr>
          <w:ilvl w:val="0"/>
          <w:numId w:val="55"/>
        </w:numPr>
        <w:ind w:left="420" w:leftChars="0" w:firstLine="0" w:firstLineChars="0"/>
        <w:rPr>
          <w:rFonts w:hint="eastAsia"/>
          <w:szCs w:val="22"/>
          <w:lang w:val="en-US" w:eastAsia="zh-CN"/>
        </w:rPr>
      </w:pPr>
      <w:r>
        <w:rPr>
          <w:rFonts w:hint="eastAsia"/>
          <w:szCs w:val="22"/>
          <w:lang w:val="en-US" w:eastAsia="zh-CN"/>
        </w:rPr>
        <w:t>对施工机具与设施、人员的能力进行核实；</w:t>
      </w:r>
    </w:p>
    <w:p>
      <w:pPr>
        <w:pStyle w:val="21"/>
        <w:numPr>
          <w:ilvl w:val="0"/>
          <w:numId w:val="55"/>
        </w:numPr>
        <w:ind w:left="420" w:leftChars="0" w:firstLine="0" w:firstLineChars="0"/>
        <w:rPr>
          <w:rFonts w:hint="eastAsia"/>
          <w:szCs w:val="22"/>
          <w:lang w:val="en-US" w:eastAsia="zh-CN"/>
        </w:rPr>
      </w:pPr>
      <w:r>
        <w:rPr>
          <w:rFonts w:hint="eastAsia"/>
          <w:szCs w:val="22"/>
          <w:lang w:val="en-US" w:eastAsia="zh-CN"/>
        </w:rPr>
        <w:t>定期或在人员、材料、工艺参数、设备、环境发生变化时，重新进行确认；</w:t>
      </w:r>
    </w:p>
    <w:p>
      <w:pPr>
        <w:pStyle w:val="21"/>
        <w:numPr>
          <w:ilvl w:val="0"/>
          <w:numId w:val="55"/>
        </w:numPr>
        <w:ind w:left="420" w:leftChars="0" w:firstLine="0" w:firstLineChars="0"/>
        <w:rPr>
          <w:rFonts w:hint="eastAsia"/>
          <w:szCs w:val="22"/>
          <w:lang w:val="en-US" w:eastAsia="zh-CN"/>
        </w:rPr>
      </w:pPr>
      <w:r>
        <w:rPr>
          <w:rFonts w:hint="eastAsia"/>
          <w:szCs w:val="22"/>
          <w:lang w:val="en-US" w:eastAsia="zh-CN"/>
        </w:rPr>
        <w:t>隐蔽工程、危险性较大分部分项工程等重要阶段的安全旁站；</w:t>
      </w:r>
    </w:p>
    <w:p>
      <w:pPr>
        <w:pStyle w:val="21"/>
        <w:numPr>
          <w:ilvl w:val="0"/>
          <w:numId w:val="55"/>
        </w:numPr>
        <w:ind w:left="420" w:leftChars="0" w:firstLine="0" w:firstLineChars="0"/>
        <w:rPr>
          <w:rFonts w:hint="eastAsia"/>
          <w:szCs w:val="22"/>
          <w:lang w:val="en-US" w:eastAsia="zh-CN"/>
        </w:rPr>
      </w:pPr>
      <w:r>
        <w:rPr>
          <w:rFonts w:hint="eastAsia"/>
          <w:szCs w:val="22"/>
          <w:lang w:val="en-US" w:eastAsia="zh-CN"/>
        </w:rPr>
        <w:t>记录必要的确认活动。</w:t>
      </w:r>
    </w:p>
    <w:p>
      <w:pPr>
        <w:pStyle w:val="21"/>
        <w:numPr>
          <w:ilvl w:val="0"/>
          <w:numId w:val="0"/>
        </w:numPr>
        <w:ind w:firstLine="420" w:firstLineChars="200"/>
        <w:rPr>
          <w:rFonts w:hint="eastAsia"/>
          <w:szCs w:val="22"/>
          <w:lang w:val="en-US" w:eastAsia="zh-CN"/>
        </w:rPr>
      </w:pPr>
      <w:r>
        <w:rPr>
          <w:rFonts w:hint="eastAsia"/>
          <w:szCs w:val="22"/>
          <w:lang w:val="en-US" w:eastAsia="zh-CN"/>
        </w:rPr>
        <w:t>企业应负责工程移交期间的防护管理。</w:t>
      </w:r>
    </w:p>
    <w:p>
      <w:pPr>
        <w:pStyle w:val="21"/>
        <w:numPr>
          <w:ilvl w:val="0"/>
          <w:numId w:val="0"/>
        </w:numPr>
        <w:ind w:firstLine="420" w:firstLineChars="200"/>
        <w:rPr>
          <w:rFonts w:hint="eastAsia"/>
          <w:szCs w:val="22"/>
          <w:lang w:val="en-US" w:eastAsia="zh-CN"/>
        </w:rPr>
      </w:pPr>
      <w:r>
        <w:rPr>
          <w:rFonts w:hint="eastAsia"/>
          <w:szCs w:val="22"/>
          <w:lang w:val="en-US" w:eastAsia="zh-CN"/>
        </w:rPr>
        <w:t>企业应根据施工状态的控制需求进行施工过程标识，重要过程应具有可追溯性。</w:t>
      </w:r>
    </w:p>
    <w:p>
      <w:pPr>
        <w:pStyle w:val="21"/>
        <w:numPr>
          <w:ilvl w:val="0"/>
          <w:numId w:val="0"/>
        </w:numPr>
        <w:ind w:firstLine="420" w:firstLineChars="200"/>
        <w:rPr>
          <w:rFonts w:hint="default"/>
          <w:szCs w:val="22"/>
          <w:lang w:val="en-US" w:eastAsia="zh-CN"/>
        </w:rPr>
      </w:pPr>
      <w:r>
        <w:rPr>
          <w:rFonts w:hint="eastAsia"/>
          <w:szCs w:val="22"/>
          <w:lang w:val="en-US" w:eastAsia="zh-CN"/>
        </w:rPr>
        <w:t>企业应按约定对工程项目使用的发包方和供方财产进行妥善管理。</w:t>
      </w:r>
    </w:p>
    <w:p>
      <w:pPr>
        <w:pStyle w:val="51"/>
        <w:bidi w:val="0"/>
        <w:ind w:left="0" w:leftChars="0" w:firstLine="0" w:firstLineChars="0"/>
        <w:rPr>
          <w:rFonts w:hint="eastAsia"/>
          <w:lang w:val="en-US" w:eastAsia="zh-CN"/>
        </w:rPr>
      </w:pPr>
      <w:bookmarkStart w:id="247" w:name="_Toc28196"/>
      <w:bookmarkStart w:id="248" w:name="_Toc3599"/>
      <w:bookmarkStart w:id="249" w:name="_Toc12050"/>
      <w:r>
        <w:rPr>
          <w:rFonts w:hint="eastAsia"/>
          <w:lang w:val="en-US" w:eastAsia="zh-CN"/>
        </w:rPr>
        <w:t>进度管理</w:t>
      </w:r>
      <w:bookmarkEnd w:id="247"/>
      <w:bookmarkEnd w:id="248"/>
      <w:bookmarkEnd w:id="249"/>
    </w:p>
    <w:p>
      <w:pPr>
        <w:pStyle w:val="51"/>
        <w:numPr>
          <w:ilvl w:val="1"/>
          <w:numId w:val="0"/>
        </w:numPr>
        <w:bidi w:val="0"/>
        <w:ind w:leftChars="0"/>
        <w:rPr>
          <w:rFonts w:hint="default"/>
          <w:lang w:val="en-US" w:eastAsia="zh-CN"/>
        </w:rPr>
      </w:pPr>
      <w:bookmarkStart w:id="250" w:name="_Toc2049"/>
      <w:bookmarkStart w:id="251" w:name="_Toc5862"/>
      <w:bookmarkStart w:id="252" w:name="_Toc28820"/>
      <w:r>
        <w:rPr>
          <w:rFonts w:hint="eastAsia"/>
          <w:lang w:val="en-US" w:eastAsia="zh-CN"/>
        </w:rPr>
        <w:t>11.7.1进度目标</w:t>
      </w:r>
      <w:bookmarkEnd w:id="250"/>
      <w:bookmarkEnd w:id="251"/>
      <w:bookmarkEnd w:id="252"/>
    </w:p>
    <w:p>
      <w:pPr>
        <w:pStyle w:val="21"/>
        <w:rPr>
          <w:rFonts w:hint="eastAsia"/>
          <w:lang w:val="en-US" w:eastAsia="zh-CN"/>
        </w:rPr>
      </w:pPr>
      <w:r>
        <w:rPr>
          <w:rFonts w:hint="eastAsia"/>
          <w:lang w:val="en-US" w:eastAsia="zh-CN"/>
        </w:rPr>
        <w:t>企业应根据进度控制要求和工程项目关键节点控制的要求，制订进度计划，确定进度控制目标，并考虑以下影响：</w:t>
      </w:r>
    </w:p>
    <w:p>
      <w:pPr>
        <w:pStyle w:val="21"/>
        <w:numPr>
          <w:ilvl w:val="0"/>
          <w:numId w:val="56"/>
        </w:numPr>
        <w:ind w:left="420" w:leftChars="0" w:firstLine="0" w:firstLineChars="0"/>
        <w:rPr>
          <w:rFonts w:hint="eastAsia"/>
          <w:szCs w:val="22"/>
          <w:lang w:val="en-US" w:eastAsia="zh-CN"/>
        </w:rPr>
      </w:pPr>
      <w:r>
        <w:rPr>
          <w:rFonts w:hint="eastAsia"/>
          <w:szCs w:val="22"/>
          <w:lang w:val="en-US" w:eastAsia="zh-CN"/>
        </w:rPr>
        <w:t>施工合同；</w:t>
      </w:r>
    </w:p>
    <w:p>
      <w:pPr>
        <w:pStyle w:val="21"/>
        <w:numPr>
          <w:ilvl w:val="0"/>
          <w:numId w:val="56"/>
        </w:numPr>
        <w:ind w:left="420" w:leftChars="0" w:firstLine="0" w:firstLineChars="0"/>
        <w:rPr>
          <w:rFonts w:hint="eastAsia"/>
          <w:szCs w:val="22"/>
          <w:lang w:val="en-US" w:eastAsia="zh-CN"/>
        </w:rPr>
      </w:pPr>
      <w:r>
        <w:rPr>
          <w:rFonts w:hint="eastAsia"/>
          <w:szCs w:val="22"/>
          <w:lang w:val="en-US" w:eastAsia="zh-CN"/>
        </w:rPr>
        <w:t>工程前期资料；</w:t>
      </w:r>
    </w:p>
    <w:p>
      <w:pPr>
        <w:pStyle w:val="21"/>
        <w:numPr>
          <w:ilvl w:val="0"/>
          <w:numId w:val="56"/>
        </w:numPr>
        <w:ind w:left="420" w:leftChars="0" w:firstLine="0" w:firstLineChars="0"/>
        <w:rPr>
          <w:rFonts w:hint="eastAsia"/>
          <w:szCs w:val="22"/>
          <w:lang w:val="en-US" w:eastAsia="zh-CN"/>
        </w:rPr>
      </w:pPr>
      <w:r>
        <w:rPr>
          <w:rFonts w:hint="eastAsia"/>
          <w:szCs w:val="22"/>
          <w:lang w:val="en-US" w:eastAsia="zh-CN"/>
        </w:rPr>
        <w:t>工程内容、范围、性质；</w:t>
      </w:r>
    </w:p>
    <w:p>
      <w:pPr>
        <w:pStyle w:val="21"/>
        <w:numPr>
          <w:ilvl w:val="0"/>
          <w:numId w:val="56"/>
        </w:numPr>
        <w:ind w:left="420" w:leftChars="0" w:firstLine="0" w:firstLineChars="0"/>
        <w:rPr>
          <w:rFonts w:hint="eastAsia"/>
          <w:szCs w:val="22"/>
          <w:lang w:val="en-US" w:eastAsia="zh-CN"/>
        </w:rPr>
      </w:pPr>
      <w:r>
        <w:rPr>
          <w:rFonts w:hint="eastAsia"/>
          <w:szCs w:val="22"/>
          <w:lang w:val="en-US" w:eastAsia="zh-CN"/>
        </w:rPr>
        <w:t>工程量及工程地点；</w:t>
      </w:r>
    </w:p>
    <w:p>
      <w:pPr>
        <w:pStyle w:val="21"/>
        <w:numPr>
          <w:ilvl w:val="0"/>
          <w:numId w:val="56"/>
        </w:numPr>
        <w:ind w:left="420" w:leftChars="0" w:firstLine="0" w:firstLineChars="0"/>
        <w:rPr>
          <w:rFonts w:hint="eastAsia"/>
          <w:szCs w:val="22"/>
          <w:lang w:val="en-US" w:eastAsia="zh-CN"/>
        </w:rPr>
      </w:pPr>
      <w:r>
        <w:rPr>
          <w:rFonts w:hint="eastAsia"/>
          <w:szCs w:val="22"/>
          <w:lang w:val="en-US" w:eastAsia="zh-CN"/>
        </w:rPr>
        <w:t>交通、环境、气候。</w:t>
      </w:r>
    </w:p>
    <w:p>
      <w:pPr>
        <w:pStyle w:val="51"/>
        <w:numPr>
          <w:ilvl w:val="1"/>
          <w:numId w:val="0"/>
        </w:numPr>
        <w:bidi w:val="0"/>
        <w:ind w:leftChars="0"/>
        <w:rPr>
          <w:rFonts w:hint="eastAsia"/>
          <w:lang w:val="en-US" w:eastAsia="zh-CN"/>
        </w:rPr>
      </w:pPr>
      <w:bookmarkStart w:id="253" w:name="_Toc23599"/>
      <w:bookmarkStart w:id="254" w:name="_Toc6237"/>
      <w:bookmarkStart w:id="255" w:name="_Toc18894"/>
      <w:r>
        <w:rPr>
          <w:rFonts w:hint="eastAsia"/>
          <w:lang w:val="en-US" w:eastAsia="zh-CN"/>
        </w:rPr>
        <w:t>11.7.2进度风险</w:t>
      </w:r>
      <w:bookmarkEnd w:id="253"/>
      <w:bookmarkEnd w:id="254"/>
      <w:bookmarkEnd w:id="255"/>
    </w:p>
    <w:p>
      <w:pPr>
        <w:pStyle w:val="21"/>
        <w:rPr>
          <w:rFonts w:hint="eastAsia"/>
          <w:lang w:val="en-US" w:eastAsia="zh-CN"/>
        </w:rPr>
      </w:pPr>
      <w:r>
        <w:rPr>
          <w:rFonts w:hint="eastAsia"/>
          <w:lang w:val="en-US" w:eastAsia="zh-CN"/>
        </w:rPr>
        <w:t>企业应评估影响工程进度的相关风险，评估风险时考虑以下方面影响：</w:t>
      </w:r>
    </w:p>
    <w:p>
      <w:pPr>
        <w:pStyle w:val="21"/>
        <w:numPr>
          <w:ilvl w:val="0"/>
          <w:numId w:val="57"/>
        </w:numPr>
        <w:ind w:left="420" w:leftChars="0" w:firstLine="0" w:firstLineChars="0"/>
        <w:rPr>
          <w:rFonts w:hint="eastAsia"/>
          <w:szCs w:val="22"/>
          <w:lang w:val="en-US" w:eastAsia="zh-CN"/>
        </w:rPr>
      </w:pPr>
      <w:r>
        <w:rPr>
          <w:rFonts w:hint="eastAsia"/>
          <w:szCs w:val="22"/>
          <w:lang w:val="en-US" w:eastAsia="zh-CN"/>
        </w:rPr>
        <w:t>工程设计；</w:t>
      </w:r>
    </w:p>
    <w:p>
      <w:pPr>
        <w:pStyle w:val="21"/>
        <w:numPr>
          <w:ilvl w:val="0"/>
          <w:numId w:val="57"/>
        </w:numPr>
        <w:ind w:left="420" w:leftChars="0" w:firstLine="0" w:firstLineChars="0"/>
        <w:rPr>
          <w:rFonts w:hint="eastAsia"/>
          <w:szCs w:val="22"/>
          <w:lang w:val="en-US" w:eastAsia="zh-CN"/>
        </w:rPr>
      </w:pPr>
      <w:r>
        <w:rPr>
          <w:rFonts w:hint="eastAsia"/>
          <w:szCs w:val="22"/>
          <w:lang w:val="en-US" w:eastAsia="zh-CN"/>
        </w:rPr>
        <w:t>施工技术；</w:t>
      </w:r>
    </w:p>
    <w:p>
      <w:pPr>
        <w:pStyle w:val="21"/>
        <w:numPr>
          <w:ilvl w:val="0"/>
          <w:numId w:val="57"/>
        </w:numPr>
        <w:ind w:left="420" w:leftChars="0" w:firstLine="0" w:firstLineChars="0"/>
        <w:rPr>
          <w:rFonts w:hint="eastAsia"/>
          <w:szCs w:val="22"/>
          <w:lang w:val="en-US" w:eastAsia="zh-CN"/>
        </w:rPr>
      </w:pPr>
      <w:r>
        <w:rPr>
          <w:rFonts w:hint="eastAsia"/>
          <w:szCs w:val="22"/>
          <w:lang w:val="en-US" w:eastAsia="zh-CN"/>
        </w:rPr>
        <w:t>自然环境；</w:t>
      </w:r>
    </w:p>
    <w:p>
      <w:pPr>
        <w:pStyle w:val="21"/>
        <w:numPr>
          <w:ilvl w:val="0"/>
          <w:numId w:val="57"/>
        </w:numPr>
        <w:ind w:left="420" w:leftChars="0" w:firstLine="0" w:firstLineChars="0"/>
        <w:rPr>
          <w:rFonts w:hint="eastAsia"/>
          <w:szCs w:val="22"/>
          <w:lang w:val="en-US" w:eastAsia="zh-CN"/>
        </w:rPr>
      </w:pPr>
      <w:r>
        <w:rPr>
          <w:rFonts w:hint="eastAsia"/>
          <w:szCs w:val="22"/>
          <w:lang w:val="en-US" w:eastAsia="zh-CN"/>
        </w:rPr>
        <w:t>社会环境；</w:t>
      </w:r>
    </w:p>
    <w:p>
      <w:pPr>
        <w:pStyle w:val="21"/>
        <w:numPr>
          <w:ilvl w:val="0"/>
          <w:numId w:val="57"/>
        </w:numPr>
        <w:ind w:left="420" w:leftChars="0" w:firstLine="0" w:firstLineChars="0"/>
        <w:rPr>
          <w:rFonts w:hint="eastAsia"/>
          <w:szCs w:val="22"/>
          <w:lang w:val="en-US" w:eastAsia="zh-CN"/>
        </w:rPr>
      </w:pPr>
      <w:r>
        <w:rPr>
          <w:rFonts w:hint="eastAsia"/>
          <w:szCs w:val="22"/>
          <w:lang w:val="en-US" w:eastAsia="zh-CN"/>
        </w:rPr>
        <w:t>组织管理；</w:t>
      </w:r>
    </w:p>
    <w:p>
      <w:pPr>
        <w:pStyle w:val="21"/>
        <w:numPr>
          <w:ilvl w:val="0"/>
          <w:numId w:val="57"/>
        </w:numPr>
        <w:ind w:left="420" w:leftChars="0" w:firstLine="0" w:firstLineChars="0"/>
        <w:rPr>
          <w:rFonts w:hint="eastAsia"/>
          <w:szCs w:val="22"/>
          <w:lang w:val="en-US" w:eastAsia="zh-CN"/>
        </w:rPr>
      </w:pPr>
      <w:r>
        <w:rPr>
          <w:rFonts w:hint="eastAsia"/>
          <w:szCs w:val="22"/>
          <w:lang w:val="en-US" w:eastAsia="zh-CN"/>
        </w:rPr>
        <w:t>材料、设备供应；</w:t>
      </w:r>
    </w:p>
    <w:p>
      <w:pPr>
        <w:pStyle w:val="21"/>
        <w:numPr>
          <w:ilvl w:val="0"/>
          <w:numId w:val="57"/>
        </w:numPr>
        <w:ind w:left="420" w:leftChars="0" w:firstLine="0" w:firstLineChars="0"/>
        <w:rPr>
          <w:rFonts w:hint="default"/>
          <w:szCs w:val="22"/>
          <w:lang w:val="en-US" w:eastAsia="zh-CN"/>
        </w:rPr>
      </w:pPr>
      <w:r>
        <w:rPr>
          <w:rFonts w:hint="eastAsia"/>
          <w:szCs w:val="22"/>
          <w:lang w:val="en-US" w:eastAsia="zh-CN"/>
        </w:rPr>
        <w:t>资金投入等。</w:t>
      </w:r>
    </w:p>
    <w:p>
      <w:pPr>
        <w:pStyle w:val="51"/>
        <w:numPr>
          <w:ilvl w:val="1"/>
          <w:numId w:val="0"/>
        </w:numPr>
        <w:bidi w:val="0"/>
        <w:ind w:leftChars="0"/>
        <w:rPr>
          <w:rFonts w:hint="default"/>
          <w:lang w:val="en-US" w:eastAsia="zh-CN"/>
        </w:rPr>
      </w:pPr>
      <w:bookmarkStart w:id="256" w:name="_Toc1536"/>
      <w:bookmarkStart w:id="257" w:name="_Toc14176"/>
      <w:bookmarkStart w:id="258" w:name="_Toc21034"/>
      <w:r>
        <w:rPr>
          <w:rFonts w:hint="eastAsia"/>
          <w:lang w:val="en-US" w:eastAsia="zh-CN"/>
        </w:rPr>
        <w:t>11.7.3进度计划</w:t>
      </w:r>
      <w:bookmarkEnd w:id="256"/>
      <w:bookmarkEnd w:id="257"/>
      <w:bookmarkEnd w:id="258"/>
    </w:p>
    <w:p>
      <w:pPr>
        <w:pStyle w:val="21"/>
        <w:rPr>
          <w:rFonts w:hint="eastAsia"/>
          <w:lang w:val="en-US" w:eastAsia="zh-CN"/>
        </w:rPr>
      </w:pPr>
      <w:r>
        <w:rPr>
          <w:rFonts w:hint="eastAsia"/>
          <w:lang w:val="en-US" w:eastAsia="zh-CN"/>
        </w:rPr>
        <w:t>企业应根据评估结果制订施工进度控制计划，明确进度检查、统计周期、数据采集方式、进度报表格式、统计分析方法、控制网络图等要素，进度控制方案的主要内容包括但不限于以下：</w:t>
      </w:r>
    </w:p>
    <w:p>
      <w:pPr>
        <w:pStyle w:val="21"/>
        <w:numPr>
          <w:ilvl w:val="0"/>
          <w:numId w:val="58"/>
        </w:numPr>
        <w:ind w:left="420" w:leftChars="0" w:firstLine="0" w:firstLineChars="0"/>
        <w:rPr>
          <w:rFonts w:hint="eastAsia"/>
          <w:szCs w:val="22"/>
          <w:lang w:val="en-US" w:eastAsia="zh-CN"/>
        </w:rPr>
      </w:pPr>
      <w:r>
        <w:rPr>
          <w:rFonts w:hint="eastAsia"/>
          <w:szCs w:val="22"/>
          <w:lang w:val="en-US" w:eastAsia="zh-CN"/>
        </w:rPr>
        <w:t>进度控制相关人员的职责分工；</w:t>
      </w:r>
    </w:p>
    <w:p>
      <w:pPr>
        <w:pStyle w:val="21"/>
        <w:numPr>
          <w:ilvl w:val="0"/>
          <w:numId w:val="58"/>
        </w:numPr>
        <w:ind w:left="420" w:leftChars="0" w:firstLine="0" w:firstLineChars="0"/>
        <w:rPr>
          <w:rFonts w:hint="eastAsia"/>
          <w:szCs w:val="22"/>
          <w:lang w:val="en-US" w:eastAsia="zh-CN"/>
        </w:rPr>
      </w:pPr>
      <w:r>
        <w:rPr>
          <w:rFonts w:hint="eastAsia"/>
          <w:szCs w:val="22"/>
          <w:lang w:val="en-US" w:eastAsia="zh-CN"/>
        </w:rPr>
        <w:t>施工进度控制目标分解；</w:t>
      </w:r>
    </w:p>
    <w:p>
      <w:pPr>
        <w:pStyle w:val="21"/>
        <w:numPr>
          <w:ilvl w:val="0"/>
          <w:numId w:val="58"/>
        </w:numPr>
        <w:ind w:left="420" w:leftChars="0" w:firstLine="0" w:firstLineChars="0"/>
        <w:rPr>
          <w:rFonts w:hint="eastAsia"/>
          <w:szCs w:val="22"/>
          <w:lang w:val="en-US" w:eastAsia="zh-CN"/>
        </w:rPr>
      </w:pPr>
      <w:r>
        <w:rPr>
          <w:rFonts w:hint="eastAsia"/>
          <w:szCs w:val="22"/>
          <w:lang w:val="en-US" w:eastAsia="zh-CN"/>
        </w:rPr>
        <w:t>施工进度控制目标风险分析；</w:t>
      </w:r>
    </w:p>
    <w:p>
      <w:pPr>
        <w:pStyle w:val="21"/>
        <w:numPr>
          <w:ilvl w:val="0"/>
          <w:numId w:val="58"/>
        </w:numPr>
        <w:ind w:left="420" w:leftChars="0" w:firstLine="0" w:firstLineChars="0"/>
        <w:rPr>
          <w:rFonts w:hint="eastAsia"/>
          <w:szCs w:val="22"/>
          <w:lang w:val="en-US" w:eastAsia="zh-CN"/>
        </w:rPr>
      </w:pPr>
      <w:r>
        <w:rPr>
          <w:rFonts w:hint="eastAsia"/>
          <w:szCs w:val="22"/>
          <w:lang w:val="en-US" w:eastAsia="zh-CN"/>
        </w:rPr>
        <w:t>施工进度控制的主要工作内容；</w:t>
      </w:r>
    </w:p>
    <w:p>
      <w:pPr>
        <w:pStyle w:val="21"/>
        <w:numPr>
          <w:ilvl w:val="0"/>
          <w:numId w:val="58"/>
        </w:numPr>
        <w:ind w:left="420" w:leftChars="0" w:firstLine="0" w:firstLineChars="0"/>
        <w:rPr>
          <w:rFonts w:hint="eastAsia"/>
          <w:szCs w:val="22"/>
          <w:lang w:val="en-US" w:eastAsia="zh-CN"/>
        </w:rPr>
      </w:pPr>
      <w:r>
        <w:rPr>
          <w:rFonts w:hint="eastAsia"/>
          <w:szCs w:val="22"/>
          <w:lang w:val="en-US" w:eastAsia="zh-CN"/>
        </w:rPr>
        <w:t>进度控制的流程；</w:t>
      </w:r>
    </w:p>
    <w:p>
      <w:pPr>
        <w:pStyle w:val="21"/>
        <w:numPr>
          <w:ilvl w:val="0"/>
          <w:numId w:val="58"/>
        </w:numPr>
        <w:ind w:left="420" w:leftChars="0" w:firstLine="0" w:firstLineChars="0"/>
        <w:rPr>
          <w:rFonts w:hint="default"/>
          <w:szCs w:val="22"/>
          <w:lang w:val="en-US" w:eastAsia="zh-CN"/>
        </w:rPr>
      </w:pPr>
      <w:r>
        <w:rPr>
          <w:rFonts w:hint="eastAsia"/>
          <w:szCs w:val="22"/>
          <w:lang w:val="en-US" w:eastAsia="zh-CN"/>
        </w:rPr>
        <w:t>进度控制的具体措施。</w:t>
      </w:r>
    </w:p>
    <w:p>
      <w:pPr>
        <w:pStyle w:val="51"/>
        <w:numPr>
          <w:ilvl w:val="1"/>
          <w:numId w:val="0"/>
        </w:numPr>
        <w:bidi w:val="0"/>
        <w:ind w:leftChars="0"/>
        <w:rPr>
          <w:rFonts w:hint="eastAsia"/>
          <w:lang w:val="en-US" w:eastAsia="zh-CN"/>
        </w:rPr>
      </w:pPr>
      <w:bookmarkStart w:id="259" w:name="_Toc32091"/>
      <w:bookmarkStart w:id="260" w:name="_Toc18947"/>
      <w:bookmarkStart w:id="261" w:name="_Toc10814"/>
      <w:r>
        <w:rPr>
          <w:rFonts w:hint="eastAsia"/>
          <w:lang w:val="en-US" w:eastAsia="zh-CN"/>
        </w:rPr>
        <w:t>11.7.4进度控制</w:t>
      </w:r>
      <w:bookmarkEnd w:id="259"/>
      <w:bookmarkEnd w:id="260"/>
      <w:bookmarkEnd w:id="261"/>
    </w:p>
    <w:p>
      <w:pPr>
        <w:pStyle w:val="21"/>
        <w:rPr>
          <w:rFonts w:hint="eastAsia"/>
          <w:lang w:val="en-US" w:eastAsia="zh-CN"/>
        </w:rPr>
      </w:pPr>
      <w:r>
        <w:rPr>
          <w:rFonts w:hint="eastAsia"/>
          <w:lang w:val="en-US" w:eastAsia="zh-CN"/>
        </w:rPr>
        <w:t>企业应对进度进行有效控制，采取措施可包括：</w:t>
      </w:r>
    </w:p>
    <w:p>
      <w:pPr>
        <w:pStyle w:val="21"/>
        <w:numPr>
          <w:ilvl w:val="0"/>
          <w:numId w:val="59"/>
        </w:numPr>
        <w:ind w:left="420" w:leftChars="0" w:firstLine="0" w:firstLineChars="0"/>
        <w:rPr>
          <w:rFonts w:hint="eastAsia"/>
          <w:szCs w:val="22"/>
          <w:lang w:val="en-US" w:eastAsia="zh-CN"/>
        </w:rPr>
      </w:pPr>
      <w:r>
        <w:rPr>
          <w:rFonts w:hint="eastAsia"/>
          <w:szCs w:val="22"/>
          <w:lang w:val="en-US" w:eastAsia="zh-CN"/>
        </w:rPr>
        <w:t>根据审批的施工进度计划和设计图纸交付计划对工程实际进度进行跟踪检查，掌握现场人员、材料、设备、机械环境等情况；对进度检查结果与进度计划进行比较、分析；</w:t>
      </w:r>
    </w:p>
    <w:p>
      <w:pPr>
        <w:pStyle w:val="21"/>
        <w:numPr>
          <w:ilvl w:val="0"/>
          <w:numId w:val="59"/>
        </w:numPr>
        <w:ind w:left="420" w:leftChars="0" w:firstLine="0" w:firstLineChars="0"/>
        <w:rPr>
          <w:rFonts w:hint="eastAsia"/>
          <w:szCs w:val="22"/>
          <w:lang w:val="en-US" w:eastAsia="zh-CN"/>
        </w:rPr>
      </w:pPr>
      <w:r>
        <w:rPr>
          <w:rFonts w:hint="eastAsia"/>
          <w:szCs w:val="22"/>
          <w:lang w:val="en-US" w:eastAsia="zh-CN"/>
        </w:rPr>
        <w:t>当工程实际与进度计划发生偏差时通知责任单位及时采取纠正措施，以实现进度目标；工程实际进度与计划进度严重滞后时，通报相关单位，并责令召开专题会议分析滞后产生原因，提出改进意见；</w:t>
      </w:r>
    </w:p>
    <w:p>
      <w:pPr>
        <w:pStyle w:val="21"/>
        <w:numPr>
          <w:ilvl w:val="0"/>
          <w:numId w:val="59"/>
        </w:numPr>
        <w:ind w:left="420" w:leftChars="0" w:firstLine="0" w:firstLineChars="0"/>
        <w:rPr>
          <w:rFonts w:hint="default"/>
          <w:szCs w:val="22"/>
          <w:lang w:val="en-US" w:eastAsia="zh-CN"/>
        </w:rPr>
      </w:pPr>
      <w:r>
        <w:rPr>
          <w:rFonts w:hint="eastAsia"/>
          <w:szCs w:val="22"/>
          <w:lang w:val="en-US" w:eastAsia="zh-CN"/>
        </w:rPr>
        <w:t>定期报告工程实际进展情况，分析实际情况与计划进度的偏差，通报所采取的控制措施，以及措施的执行情况。</w:t>
      </w:r>
    </w:p>
    <w:p>
      <w:pPr>
        <w:pStyle w:val="51"/>
        <w:bidi w:val="0"/>
        <w:ind w:left="0" w:leftChars="0" w:firstLine="0" w:firstLineChars="0"/>
        <w:rPr>
          <w:rFonts w:hint="eastAsia"/>
          <w:lang w:val="en-US" w:eastAsia="zh-CN"/>
        </w:rPr>
      </w:pPr>
      <w:bookmarkStart w:id="262" w:name="_Toc1700"/>
      <w:bookmarkStart w:id="263" w:name="_Toc21355"/>
      <w:bookmarkStart w:id="264" w:name="_Toc25419"/>
      <w:r>
        <w:rPr>
          <w:rFonts w:hint="eastAsia"/>
          <w:lang w:val="en-US" w:eastAsia="zh-CN"/>
        </w:rPr>
        <w:t>安全管理</w:t>
      </w:r>
      <w:bookmarkEnd w:id="262"/>
      <w:bookmarkEnd w:id="263"/>
      <w:bookmarkEnd w:id="264"/>
    </w:p>
    <w:p>
      <w:pPr>
        <w:pStyle w:val="51"/>
        <w:numPr>
          <w:ilvl w:val="1"/>
          <w:numId w:val="0"/>
        </w:numPr>
        <w:bidi w:val="0"/>
        <w:ind w:leftChars="0"/>
        <w:rPr>
          <w:rFonts w:hint="eastAsia"/>
          <w:highlight w:val="none"/>
          <w:lang w:val="en-US" w:eastAsia="zh-CN"/>
        </w:rPr>
      </w:pPr>
      <w:bookmarkStart w:id="265" w:name="_Toc19327"/>
      <w:bookmarkStart w:id="266" w:name="_Toc847"/>
      <w:r>
        <w:rPr>
          <w:rFonts w:hint="eastAsia"/>
          <w:highlight w:val="none"/>
          <w:lang w:val="en-US" w:eastAsia="zh-CN"/>
        </w:rPr>
        <w:t>11.8.1基础管理</w:t>
      </w:r>
      <w:bookmarkEnd w:id="265"/>
      <w:bookmarkEnd w:id="266"/>
    </w:p>
    <w:p>
      <w:pPr>
        <w:pStyle w:val="21"/>
        <w:rPr>
          <w:rFonts w:hint="eastAsia"/>
          <w:highlight w:val="none"/>
          <w:lang w:val="en-US" w:eastAsia="zh-CN"/>
        </w:rPr>
      </w:pPr>
      <w:r>
        <w:rPr>
          <w:rFonts w:hint="eastAsia"/>
          <w:highlight w:val="none"/>
          <w:lang w:val="en-US" w:eastAsia="zh-CN"/>
        </w:rPr>
        <w:t>企业应按项目策划中的安全控制要求对安全管理进行作业前控制，确保施工准备阶段安全。</w:t>
      </w:r>
    </w:p>
    <w:p>
      <w:pPr>
        <w:pStyle w:val="21"/>
        <w:rPr>
          <w:rFonts w:hint="eastAsia"/>
          <w:highlight w:val="none"/>
          <w:lang w:val="en-US" w:eastAsia="zh-CN"/>
        </w:rPr>
      </w:pPr>
      <w:r>
        <w:rPr>
          <w:rFonts w:hint="eastAsia"/>
          <w:highlight w:val="none"/>
          <w:lang w:val="en-US" w:eastAsia="zh-CN"/>
        </w:rPr>
        <w:t>企业应编制安全工作总体计划，包括但不限于以下：</w:t>
      </w:r>
    </w:p>
    <w:p>
      <w:pPr>
        <w:pStyle w:val="21"/>
        <w:numPr>
          <w:ilvl w:val="0"/>
          <w:numId w:val="60"/>
        </w:numPr>
        <w:ind w:left="420" w:leftChars="0" w:firstLine="0" w:firstLineChars="0"/>
        <w:rPr>
          <w:rFonts w:hint="eastAsia"/>
          <w:szCs w:val="22"/>
          <w:highlight w:val="none"/>
          <w:lang w:val="en-US" w:eastAsia="zh-CN"/>
        </w:rPr>
      </w:pPr>
      <w:r>
        <w:rPr>
          <w:rFonts w:hint="eastAsia"/>
          <w:szCs w:val="22"/>
          <w:highlight w:val="none"/>
          <w:lang w:val="en-US" w:eastAsia="zh-CN"/>
        </w:rPr>
        <w:t>项目作业过程风险评估结果；</w:t>
      </w:r>
    </w:p>
    <w:p>
      <w:pPr>
        <w:pStyle w:val="21"/>
        <w:numPr>
          <w:ilvl w:val="0"/>
          <w:numId w:val="60"/>
        </w:numPr>
        <w:ind w:left="420" w:leftChars="0" w:firstLine="0" w:firstLineChars="0"/>
        <w:rPr>
          <w:rFonts w:hint="eastAsia"/>
          <w:szCs w:val="22"/>
          <w:highlight w:val="none"/>
          <w:lang w:val="en-US" w:eastAsia="zh-CN"/>
        </w:rPr>
      </w:pPr>
      <w:r>
        <w:rPr>
          <w:rFonts w:hint="eastAsia"/>
          <w:szCs w:val="22"/>
          <w:highlight w:val="none"/>
          <w:lang w:val="en-US" w:eastAsia="zh-CN"/>
        </w:rPr>
        <w:t>项目施工计划；</w:t>
      </w:r>
    </w:p>
    <w:p>
      <w:pPr>
        <w:pStyle w:val="21"/>
        <w:numPr>
          <w:ilvl w:val="0"/>
          <w:numId w:val="60"/>
        </w:numPr>
        <w:ind w:left="420" w:leftChars="0" w:firstLine="0" w:firstLineChars="0"/>
        <w:rPr>
          <w:rFonts w:hint="eastAsia"/>
          <w:szCs w:val="22"/>
          <w:highlight w:val="none"/>
          <w:lang w:val="en-US" w:eastAsia="zh-CN"/>
        </w:rPr>
      </w:pPr>
      <w:r>
        <w:rPr>
          <w:rFonts w:hint="eastAsia"/>
          <w:szCs w:val="22"/>
          <w:highlight w:val="none"/>
          <w:lang w:val="en-US" w:eastAsia="zh-CN"/>
        </w:rPr>
        <w:t>建设方相关要求；</w:t>
      </w:r>
    </w:p>
    <w:p>
      <w:pPr>
        <w:pStyle w:val="21"/>
        <w:numPr>
          <w:ilvl w:val="0"/>
          <w:numId w:val="60"/>
        </w:numPr>
        <w:ind w:left="420" w:leftChars="0" w:firstLine="0" w:firstLineChars="0"/>
        <w:rPr>
          <w:rFonts w:hint="eastAsia"/>
          <w:szCs w:val="22"/>
          <w:highlight w:val="none"/>
          <w:lang w:val="en-US" w:eastAsia="zh-CN"/>
        </w:rPr>
      </w:pPr>
      <w:r>
        <w:rPr>
          <w:rFonts w:hint="eastAsia"/>
          <w:szCs w:val="22"/>
          <w:highlight w:val="none"/>
          <w:lang w:val="en-US" w:eastAsia="zh-CN"/>
        </w:rPr>
        <w:t>作业风险差异化分析结果；</w:t>
      </w:r>
    </w:p>
    <w:p>
      <w:pPr>
        <w:pStyle w:val="21"/>
        <w:numPr>
          <w:ilvl w:val="0"/>
          <w:numId w:val="60"/>
        </w:numPr>
        <w:ind w:left="420" w:leftChars="0" w:firstLine="0" w:firstLineChars="0"/>
        <w:rPr>
          <w:rFonts w:hint="eastAsia"/>
          <w:szCs w:val="22"/>
          <w:highlight w:val="none"/>
          <w:lang w:val="en-US" w:eastAsia="zh-CN"/>
        </w:rPr>
      </w:pPr>
      <w:r>
        <w:rPr>
          <w:rFonts w:hint="eastAsia"/>
          <w:szCs w:val="22"/>
          <w:highlight w:val="none"/>
          <w:lang w:val="en-US" w:eastAsia="zh-CN"/>
        </w:rPr>
        <w:t>定期安全检查计划，包括作业指导书、安全交底、安全措施的落实、作业人员行为、施工机械、设备、安全工器具、个人防护、作业环境、现场旁站、监护等。</w:t>
      </w:r>
    </w:p>
    <w:p>
      <w:pPr>
        <w:pStyle w:val="21"/>
        <w:rPr>
          <w:rFonts w:hint="eastAsia"/>
          <w:highlight w:val="none"/>
          <w:lang w:val="en-US" w:eastAsia="zh-CN"/>
        </w:rPr>
      </w:pPr>
      <w:r>
        <w:rPr>
          <w:rFonts w:hint="eastAsia"/>
          <w:highlight w:val="none"/>
          <w:lang w:val="en-US" w:eastAsia="zh-CN"/>
        </w:rPr>
        <w:t>企业应根据工程风险制定安全生产规章制度和操作规程，保证安全生产条件所需资金的投入。</w:t>
      </w:r>
    </w:p>
    <w:p>
      <w:pPr>
        <w:pStyle w:val="21"/>
        <w:rPr>
          <w:rFonts w:hint="eastAsia"/>
          <w:highlight w:val="none"/>
          <w:lang w:val="en-US" w:eastAsia="zh-CN"/>
        </w:rPr>
      </w:pPr>
      <w:r>
        <w:rPr>
          <w:rFonts w:hint="eastAsia"/>
          <w:highlight w:val="none"/>
          <w:lang w:val="en-US" w:eastAsia="zh-CN"/>
        </w:rPr>
        <w:t>企业采购、租赁的安全防护用具、机械设备、施工机具及配件，应具有生产（制造）许可证、产品合格证，并在进入施工现场前进行查验。</w:t>
      </w:r>
    </w:p>
    <w:p>
      <w:pPr>
        <w:pStyle w:val="21"/>
        <w:rPr>
          <w:rFonts w:hint="eastAsia"/>
          <w:szCs w:val="22"/>
          <w:highlight w:val="none"/>
          <w:lang w:val="en-US" w:eastAsia="zh-CN"/>
        </w:rPr>
      </w:pPr>
      <w:r>
        <w:rPr>
          <w:rFonts w:hint="eastAsia"/>
          <w:szCs w:val="22"/>
          <w:highlight w:val="none"/>
          <w:lang w:val="en-US" w:eastAsia="zh-CN"/>
        </w:rPr>
        <w:t>企业应明确参建方安全责任，</w:t>
      </w:r>
      <w:r>
        <w:rPr>
          <w:rFonts w:hint="eastAsia"/>
          <w:szCs w:val="22"/>
          <w:highlight w:val="none"/>
        </w:rPr>
        <w:t>建设工程实行施工总承包的，由总承包单位对施工现场的安全生产负总责</w:t>
      </w:r>
      <w:r>
        <w:rPr>
          <w:rFonts w:hint="eastAsia"/>
          <w:szCs w:val="22"/>
          <w:highlight w:val="none"/>
          <w:lang w:eastAsia="zh-CN"/>
        </w:rPr>
        <w:t>，</w:t>
      </w:r>
      <w:r>
        <w:rPr>
          <w:rFonts w:hint="eastAsia"/>
          <w:szCs w:val="22"/>
          <w:highlight w:val="none"/>
          <w:lang w:val="en-US" w:eastAsia="zh-CN"/>
        </w:rPr>
        <w:t>并：</w:t>
      </w:r>
    </w:p>
    <w:p>
      <w:pPr>
        <w:pStyle w:val="21"/>
        <w:numPr>
          <w:ilvl w:val="0"/>
          <w:numId w:val="0"/>
        </w:numPr>
        <w:ind w:left="420" w:leftChars="0"/>
        <w:rPr>
          <w:rFonts w:hint="eastAsia"/>
          <w:szCs w:val="22"/>
          <w:highlight w:val="none"/>
          <w:lang w:val="en-US" w:eastAsia="zh-CN"/>
        </w:rPr>
      </w:pPr>
      <w:r>
        <w:rPr>
          <w:rFonts w:hint="eastAsia"/>
          <w:szCs w:val="22"/>
          <w:highlight w:val="none"/>
          <w:lang w:val="en-US" w:eastAsia="zh-CN"/>
        </w:rPr>
        <w:t>——总承包单位和分包单位对分包工程的安全生产承担连带责任；</w:t>
      </w:r>
    </w:p>
    <w:p>
      <w:pPr>
        <w:pStyle w:val="21"/>
        <w:numPr>
          <w:ilvl w:val="0"/>
          <w:numId w:val="0"/>
        </w:numPr>
        <w:ind w:left="420" w:leftChars="0"/>
        <w:rPr>
          <w:rFonts w:hint="eastAsia"/>
          <w:szCs w:val="22"/>
          <w:highlight w:val="none"/>
        </w:rPr>
      </w:pPr>
      <w:r>
        <w:rPr>
          <w:rFonts w:hint="eastAsia"/>
          <w:szCs w:val="22"/>
          <w:highlight w:val="none"/>
          <w:lang w:val="en-US" w:eastAsia="zh-CN"/>
        </w:rPr>
        <w:t>——分包单位</w:t>
      </w:r>
      <w:r>
        <w:rPr>
          <w:rFonts w:hint="eastAsia"/>
          <w:szCs w:val="22"/>
          <w:highlight w:val="none"/>
        </w:rPr>
        <w:t>应服从总承包单位的安全生产管理，分包单位不服从管理导致生产安全事故的，由分包单位承担主要责任。</w:t>
      </w:r>
    </w:p>
    <w:p>
      <w:pPr>
        <w:pStyle w:val="21"/>
        <w:rPr>
          <w:rFonts w:hint="eastAsia"/>
          <w:szCs w:val="22"/>
          <w:highlight w:val="none"/>
        </w:rPr>
      </w:pPr>
      <w:r>
        <w:rPr>
          <w:rFonts w:hint="eastAsia"/>
          <w:szCs w:val="22"/>
          <w:highlight w:val="none"/>
        </w:rPr>
        <w:t>作业人员进入新的岗位或者新的施工现场前，应接受安全生产教育培训。未经教育培训或者教育培训考核不合格的人员，不得上岗作业。</w:t>
      </w:r>
    </w:p>
    <w:p>
      <w:pPr>
        <w:pStyle w:val="21"/>
        <w:rPr>
          <w:rFonts w:hint="eastAsia"/>
          <w:highlight w:val="none"/>
          <w:lang w:val="en-US" w:eastAsia="zh-CN"/>
        </w:rPr>
      </w:pPr>
      <w:r>
        <w:rPr>
          <w:rFonts w:hint="eastAsia"/>
          <w:highlight w:val="none"/>
          <w:lang w:val="en-US" w:eastAsia="zh-CN"/>
        </w:rPr>
        <w:t>作业前，项目技术人员应对有关安全施工的技术要求向作业班组、作业人员作出交底说明，并由双方签字确认。</w:t>
      </w:r>
    </w:p>
    <w:p>
      <w:pPr>
        <w:pStyle w:val="21"/>
        <w:rPr>
          <w:rFonts w:hint="eastAsia"/>
          <w:highlight w:val="none"/>
          <w:lang w:val="en-US" w:eastAsia="zh-CN"/>
        </w:rPr>
      </w:pPr>
      <w:r>
        <w:rPr>
          <w:rFonts w:hint="eastAsia"/>
          <w:highlight w:val="none"/>
          <w:lang w:val="en-US" w:eastAsia="zh-CN"/>
        </w:rPr>
        <w:t>企业在采用新技术、新工艺、新设备、新材料时，应对作业人员进行相应的安全生产教育培训。</w:t>
      </w:r>
    </w:p>
    <w:p>
      <w:pPr>
        <w:pStyle w:val="21"/>
        <w:rPr>
          <w:rFonts w:hint="eastAsia"/>
          <w:highlight w:val="none"/>
          <w:lang w:val="en-US" w:eastAsia="zh-CN"/>
        </w:rPr>
      </w:pPr>
      <w:r>
        <w:rPr>
          <w:rFonts w:hint="eastAsia"/>
          <w:highlight w:val="none"/>
          <w:lang w:val="en-US" w:eastAsia="zh-CN"/>
        </w:rPr>
        <w:t>企业应为施工现场从事危险作业的人员办理意外伤害保险。</w:t>
      </w:r>
    </w:p>
    <w:p>
      <w:pPr>
        <w:pStyle w:val="51"/>
        <w:numPr>
          <w:ilvl w:val="1"/>
          <w:numId w:val="0"/>
        </w:numPr>
        <w:bidi w:val="0"/>
        <w:ind w:leftChars="0"/>
        <w:rPr>
          <w:rFonts w:hint="eastAsia"/>
          <w:highlight w:val="none"/>
          <w:lang w:val="en-US" w:eastAsia="zh-CN"/>
        </w:rPr>
      </w:pPr>
      <w:bookmarkStart w:id="267" w:name="_Toc5880"/>
      <w:bookmarkStart w:id="268" w:name="_Toc348"/>
      <w:r>
        <w:rPr>
          <w:rFonts w:hint="eastAsia"/>
          <w:highlight w:val="none"/>
          <w:lang w:val="en-US" w:eastAsia="zh-CN"/>
        </w:rPr>
        <w:t>11.8.2过程保障</w:t>
      </w:r>
      <w:bookmarkEnd w:id="267"/>
      <w:bookmarkEnd w:id="268"/>
    </w:p>
    <w:p>
      <w:pPr>
        <w:pStyle w:val="21"/>
        <w:rPr>
          <w:rFonts w:hint="eastAsia"/>
          <w:highlight w:val="none"/>
          <w:lang w:val="en-US" w:eastAsia="zh-CN"/>
        </w:rPr>
      </w:pPr>
      <w:r>
        <w:rPr>
          <w:rFonts w:hint="eastAsia"/>
          <w:highlight w:val="none"/>
          <w:lang w:val="en-US" w:eastAsia="zh-CN"/>
        </w:rPr>
        <w:t>企业应根据项目策划中的安全控制要求对安全管理进行有效控制，确保施工安全。</w:t>
      </w:r>
    </w:p>
    <w:p>
      <w:pPr>
        <w:pStyle w:val="21"/>
        <w:rPr>
          <w:rFonts w:hint="eastAsia"/>
          <w:highlight w:val="none"/>
          <w:lang w:val="en-US" w:eastAsia="zh-CN"/>
        </w:rPr>
      </w:pPr>
      <w:r>
        <w:rPr>
          <w:rFonts w:hint="eastAsia"/>
          <w:highlight w:val="none"/>
          <w:lang w:val="en-US" w:eastAsia="zh-CN"/>
        </w:rPr>
        <w:t>企业应对作业过程进行风险评估与控制。</w:t>
      </w:r>
    </w:p>
    <w:p>
      <w:pPr>
        <w:pStyle w:val="21"/>
        <w:rPr>
          <w:rFonts w:hint="eastAsia"/>
          <w:highlight w:val="none"/>
          <w:lang w:val="en-US" w:eastAsia="zh-CN"/>
        </w:rPr>
      </w:pPr>
      <w:r>
        <w:rPr>
          <w:rFonts w:hint="eastAsia"/>
          <w:highlight w:val="none"/>
          <w:lang w:val="en-US" w:eastAsia="zh-CN"/>
        </w:rPr>
        <w:t>对达到一定规模的危险性较大的分部分项工程应编制专项施工方案、严格审批后实施，由专职安全生产管理人员进行现场监督。</w:t>
      </w:r>
    </w:p>
    <w:p>
      <w:pPr>
        <w:pStyle w:val="21"/>
        <w:rPr>
          <w:rFonts w:hint="eastAsia"/>
          <w:highlight w:val="none"/>
          <w:lang w:val="en-US" w:eastAsia="zh-CN"/>
        </w:rPr>
      </w:pPr>
      <w:r>
        <w:rPr>
          <w:rFonts w:hint="eastAsia"/>
          <w:highlight w:val="none"/>
          <w:lang w:val="en-US" w:eastAsia="zh-CN"/>
        </w:rPr>
        <w:t>企业应向作业人员提供安全防护用具和安全防护服装，并书面告知危险岗位的操作规程和违章操作的危害。</w:t>
      </w:r>
    </w:p>
    <w:p>
      <w:pPr>
        <w:pStyle w:val="21"/>
        <w:rPr>
          <w:rFonts w:hint="eastAsia"/>
          <w:highlight w:val="none"/>
          <w:lang w:val="en-US" w:eastAsia="zh-CN"/>
        </w:rPr>
      </w:pPr>
      <w:r>
        <w:rPr>
          <w:rFonts w:hint="eastAsia"/>
          <w:highlight w:val="none"/>
          <w:lang w:val="en-US" w:eastAsia="zh-CN"/>
        </w:rPr>
        <w:t>企业的施工机具应定期进行检查、维修和保养，建立相应的资料档案，并按照国家有关规定及时报废。</w:t>
      </w:r>
    </w:p>
    <w:p>
      <w:pPr>
        <w:pStyle w:val="21"/>
        <w:rPr>
          <w:rFonts w:hint="eastAsia"/>
          <w:highlight w:val="none"/>
          <w:lang w:val="en-US" w:eastAsia="zh-CN"/>
        </w:rPr>
      </w:pPr>
      <w:r>
        <w:rPr>
          <w:rFonts w:hint="eastAsia"/>
          <w:highlight w:val="none"/>
          <w:lang w:val="en-US" w:eastAsia="zh-CN"/>
        </w:rPr>
        <w:t>企业对因建设工程施工可能造成损害的毗邻建筑物、构筑物和地下管线等，应采取专项防护措施。</w:t>
      </w:r>
    </w:p>
    <w:p>
      <w:pPr>
        <w:pStyle w:val="21"/>
        <w:rPr>
          <w:rFonts w:hint="eastAsia"/>
          <w:highlight w:val="none"/>
          <w:lang w:val="en-US" w:eastAsia="zh-CN"/>
        </w:rPr>
      </w:pPr>
      <w:r>
        <w:rPr>
          <w:rFonts w:hint="eastAsia"/>
          <w:highlight w:val="none"/>
          <w:lang w:val="en-US" w:eastAsia="zh-CN"/>
        </w:rPr>
        <w:t>企业应在施工现场危险部位设置明显的安全警示标志。安全警示标志必须符合国家标准。</w:t>
      </w:r>
    </w:p>
    <w:p>
      <w:pPr>
        <w:pStyle w:val="21"/>
        <w:rPr>
          <w:rFonts w:hint="eastAsia"/>
          <w:highlight w:val="none"/>
          <w:lang w:val="en-US" w:eastAsia="zh-CN"/>
        </w:rPr>
      </w:pPr>
      <w:r>
        <w:rPr>
          <w:rFonts w:hint="eastAsia"/>
          <w:highlight w:val="none"/>
          <w:lang w:val="en-US" w:eastAsia="zh-CN"/>
        </w:rPr>
        <w:t>企业应对工程进行定期和专项安全检查，并做好检查记录，发现事故隐患及时报告。对违章指挥、违章操作的，应立即制止。</w:t>
      </w:r>
    </w:p>
    <w:p>
      <w:pPr>
        <w:pStyle w:val="21"/>
        <w:rPr>
          <w:rFonts w:hint="eastAsia"/>
          <w:highlight w:val="none"/>
          <w:lang w:val="en-US" w:eastAsia="zh-CN"/>
        </w:rPr>
      </w:pPr>
      <w:r>
        <w:rPr>
          <w:rFonts w:hint="eastAsia"/>
          <w:highlight w:val="none"/>
          <w:lang w:val="en-US" w:eastAsia="zh-CN"/>
        </w:rPr>
        <w:t>企业应根据建设工程施工的特点、范围，对施工现场易发生重大事故的部位、环节进行监控，制定施工现场生产安全事故应急救援预案。根据需要建立应急救援组织或者配备应急救援人员，配备救援器材、设备，并定期组织演练。</w:t>
      </w:r>
    </w:p>
    <w:p>
      <w:pPr>
        <w:pStyle w:val="21"/>
        <w:rPr>
          <w:rFonts w:hint="eastAsia"/>
          <w:highlight w:val="none"/>
          <w:lang w:val="en-US" w:eastAsia="zh-CN"/>
        </w:rPr>
      </w:pPr>
      <w:r>
        <w:rPr>
          <w:rFonts w:hint="eastAsia"/>
          <w:highlight w:val="none"/>
          <w:lang w:val="en-US" w:eastAsia="zh-CN"/>
        </w:rPr>
        <w:t>发生生产安全事故，企业应按照国家有关伤亡事故报告和调查处理的规定，及时、如实地向有关部门报告。</w:t>
      </w:r>
    </w:p>
    <w:p>
      <w:pPr>
        <w:pStyle w:val="51"/>
        <w:bidi w:val="0"/>
        <w:ind w:left="0" w:leftChars="0" w:firstLine="0" w:firstLineChars="0"/>
        <w:rPr>
          <w:rFonts w:hint="eastAsia"/>
          <w:lang w:val="en-US" w:eastAsia="zh-CN"/>
        </w:rPr>
      </w:pPr>
      <w:bookmarkStart w:id="269" w:name="_Toc18392"/>
      <w:bookmarkStart w:id="270" w:name="_Toc7426"/>
      <w:bookmarkStart w:id="271" w:name="_Toc11740"/>
      <w:r>
        <w:rPr>
          <w:rFonts w:hint="eastAsia"/>
          <w:lang w:val="en-US" w:eastAsia="zh-CN"/>
        </w:rPr>
        <w:t>材料管理</w:t>
      </w:r>
      <w:bookmarkEnd w:id="269"/>
      <w:bookmarkEnd w:id="270"/>
      <w:bookmarkEnd w:id="271"/>
    </w:p>
    <w:p>
      <w:pPr>
        <w:pStyle w:val="21"/>
        <w:rPr>
          <w:rFonts w:hint="default"/>
          <w:lang w:val="en-US" w:eastAsia="zh-CN"/>
        </w:rPr>
      </w:pPr>
      <w:r>
        <w:rPr>
          <w:rFonts w:hint="eastAsia"/>
          <w:lang w:val="en-US" w:eastAsia="zh-CN"/>
        </w:rPr>
        <w:t>企业应对施工现场的材料进行规范管理，包括但不限于以下：</w:t>
      </w:r>
    </w:p>
    <w:p>
      <w:pPr>
        <w:pStyle w:val="21"/>
        <w:numPr>
          <w:ilvl w:val="0"/>
          <w:numId w:val="61"/>
        </w:numPr>
        <w:ind w:left="420" w:leftChars="0" w:firstLine="0" w:firstLineChars="0"/>
        <w:rPr>
          <w:rFonts w:hint="eastAsia"/>
          <w:szCs w:val="22"/>
          <w:highlight w:val="none"/>
          <w:lang w:val="en-US" w:eastAsia="zh-CN"/>
        </w:rPr>
      </w:pPr>
      <w:r>
        <w:rPr>
          <w:rFonts w:hint="eastAsia"/>
          <w:szCs w:val="22"/>
          <w:highlight w:val="none"/>
          <w:lang w:val="en-US" w:eastAsia="zh-CN"/>
        </w:rPr>
        <w:t xml:space="preserve">施工场地内：材料堆放场地应坚实、平整，无积水。设备、材料分类合理堆放、整齐有序，安全可靠，标识清楚，并做好防火、防潮、防雨、防碰撞等措施； </w:t>
      </w:r>
    </w:p>
    <w:p>
      <w:pPr>
        <w:pStyle w:val="21"/>
        <w:numPr>
          <w:ilvl w:val="0"/>
          <w:numId w:val="61"/>
        </w:numPr>
        <w:ind w:left="420" w:leftChars="0" w:firstLine="0" w:firstLineChars="0"/>
        <w:rPr>
          <w:rFonts w:hint="eastAsia"/>
          <w:szCs w:val="22"/>
          <w:highlight w:val="none"/>
          <w:lang w:val="en-US" w:eastAsia="zh-CN"/>
        </w:rPr>
      </w:pPr>
      <w:r>
        <w:rPr>
          <w:rFonts w:hint="eastAsia"/>
          <w:szCs w:val="22"/>
          <w:highlight w:val="none"/>
          <w:lang w:val="en-US" w:eastAsia="zh-CN"/>
        </w:rPr>
        <w:t xml:space="preserve">城市道路上：材料应堆放整齐，不得超出占道范围，现场施工应进行100%围蔽，围蔽应规范、连续、整洁； </w:t>
      </w:r>
    </w:p>
    <w:p>
      <w:pPr>
        <w:pStyle w:val="21"/>
        <w:numPr>
          <w:ilvl w:val="0"/>
          <w:numId w:val="61"/>
        </w:numPr>
        <w:ind w:left="420" w:leftChars="0" w:firstLine="0" w:firstLineChars="0"/>
        <w:rPr>
          <w:rFonts w:hint="default"/>
          <w:szCs w:val="22"/>
          <w:highlight w:val="none"/>
          <w:lang w:val="en-US" w:eastAsia="zh-CN"/>
        </w:rPr>
      </w:pPr>
      <w:r>
        <w:rPr>
          <w:rFonts w:hint="default"/>
          <w:szCs w:val="22"/>
          <w:highlight w:val="none"/>
          <w:lang w:val="en-US" w:eastAsia="zh-CN"/>
        </w:rPr>
        <w:t>运输和堆放易起尘的建筑材料时，应用帆布或其它材料覆盖，防止扬尘</w:t>
      </w:r>
      <w:r>
        <w:rPr>
          <w:rFonts w:hint="eastAsia"/>
          <w:szCs w:val="22"/>
          <w:highlight w:val="none"/>
          <w:lang w:val="en-US" w:eastAsia="zh-CN"/>
        </w:rPr>
        <w:t>；</w:t>
      </w:r>
    </w:p>
    <w:p>
      <w:pPr>
        <w:pStyle w:val="21"/>
        <w:numPr>
          <w:ilvl w:val="0"/>
          <w:numId w:val="61"/>
        </w:numPr>
        <w:ind w:left="420" w:leftChars="0" w:firstLine="0" w:firstLineChars="0"/>
        <w:rPr>
          <w:rFonts w:hint="default"/>
          <w:szCs w:val="22"/>
          <w:highlight w:val="none"/>
          <w:lang w:val="en-US" w:eastAsia="zh-CN"/>
        </w:rPr>
      </w:pPr>
      <w:r>
        <w:rPr>
          <w:rFonts w:hint="default"/>
          <w:szCs w:val="22"/>
          <w:highlight w:val="none"/>
          <w:lang w:val="en-US" w:eastAsia="zh-CN"/>
        </w:rPr>
        <w:t>当工程竣工后，应立即清除或移走现场相应的临时设施和施工机具设备、材料及余泥，做到</w:t>
      </w:r>
      <w:r>
        <w:rPr>
          <w:rFonts w:hint="eastAsia"/>
          <w:szCs w:val="22"/>
          <w:highlight w:val="none"/>
          <w:lang w:val="en-US" w:eastAsia="zh-CN"/>
        </w:rPr>
        <w:t>“</w:t>
      </w:r>
      <w:r>
        <w:rPr>
          <w:rFonts w:hint="default"/>
          <w:szCs w:val="22"/>
          <w:highlight w:val="none"/>
          <w:lang w:val="en-US" w:eastAsia="zh-CN"/>
        </w:rPr>
        <w:t>工完料清</w:t>
      </w:r>
      <w:r>
        <w:rPr>
          <w:rFonts w:hint="eastAsia"/>
          <w:szCs w:val="22"/>
          <w:highlight w:val="none"/>
          <w:lang w:val="en-US" w:eastAsia="zh-CN"/>
        </w:rPr>
        <w:t>”</w:t>
      </w:r>
      <w:r>
        <w:rPr>
          <w:rFonts w:hint="default"/>
          <w:szCs w:val="22"/>
          <w:highlight w:val="none"/>
          <w:lang w:val="en-US" w:eastAsia="zh-CN"/>
        </w:rPr>
        <w:t>。</w:t>
      </w:r>
    </w:p>
    <w:p>
      <w:pPr>
        <w:pStyle w:val="51"/>
        <w:bidi w:val="0"/>
        <w:ind w:left="0" w:leftChars="0" w:firstLine="0" w:firstLineChars="0"/>
        <w:rPr>
          <w:rFonts w:hint="eastAsia"/>
          <w:lang w:val="en-US" w:eastAsia="zh-CN"/>
        </w:rPr>
      </w:pPr>
      <w:bookmarkStart w:id="272" w:name="_Toc7251"/>
      <w:bookmarkStart w:id="273" w:name="_Toc25006"/>
      <w:bookmarkStart w:id="274" w:name="_Toc26356"/>
      <w:r>
        <w:rPr>
          <w:rFonts w:hint="eastAsia"/>
          <w:lang w:val="en-US" w:eastAsia="zh-CN"/>
        </w:rPr>
        <w:t>环境保护</w:t>
      </w:r>
      <w:bookmarkEnd w:id="272"/>
      <w:bookmarkEnd w:id="273"/>
      <w:bookmarkEnd w:id="274"/>
    </w:p>
    <w:p>
      <w:pPr>
        <w:pStyle w:val="21"/>
        <w:rPr>
          <w:rFonts w:hint="eastAsia"/>
          <w:szCs w:val="22"/>
          <w:lang w:val="en-US" w:eastAsia="zh-CN"/>
        </w:rPr>
      </w:pPr>
      <w:r>
        <w:rPr>
          <w:rFonts w:hint="eastAsia"/>
          <w:szCs w:val="22"/>
          <w:lang w:val="en-US" w:eastAsia="zh-CN"/>
        </w:rPr>
        <w:t>企业应识别与生产活动相关的环境因素，评估其对环境带来的风险，实施监控以保护环境。</w:t>
      </w:r>
    </w:p>
    <w:p>
      <w:pPr>
        <w:pStyle w:val="21"/>
        <w:rPr>
          <w:rFonts w:hint="eastAsia"/>
          <w:szCs w:val="22"/>
          <w:lang w:val="en-US" w:eastAsia="zh-CN"/>
        </w:rPr>
      </w:pPr>
      <w:r>
        <w:rPr>
          <w:rFonts w:hint="eastAsia"/>
          <w:szCs w:val="22"/>
          <w:lang w:val="en-US" w:eastAsia="zh-CN"/>
        </w:rPr>
        <w:t>企业应针对下列因素进行环境风险评估，并对环境风险制定出具体的控制措施：</w:t>
      </w:r>
    </w:p>
    <w:p>
      <w:pPr>
        <w:pStyle w:val="21"/>
        <w:numPr>
          <w:ilvl w:val="0"/>
          <w:numId w:val="62"/>
        </w:numPr>
        <w:ind w:left="420" w:leftChars="0" w:firstLine="0" w:firstLineChars="0"/>
        <w:rPr>
          <w:rFonts w:hint="eastAsia"/>
          <w:szCs w:val="22"/>
          <w:lang w:val="en-US" w:eastAsia="zh-CN"/>
        </w:rPr>
      </w:pPr>
      <w:r>
        <w:rPr>
          <w:rFonts w:hint="eastAsia"/>
          <w:szCs w:val="22"/>
          <w:lang w:val="en-US" w:eastAsia="zh-CN"/>
        </w:rPr>
        <w:t>“三废”控制；</w:t>
      </w:r>
    </w:p>
    <w:p>
      <w:pPr>
        <w:pStyle w:val="21"/>
        <w:numPr>
          <w:ilvl w:val="0"/>
          <w:numId w:val="62"/>
        </w:numPr>
        <w:ind w:left="420" w:leftChars="0" w:firstLine="0" w:firstLineChars="0"/>
        <w:rPr>
          <w:rFonts w:hint="eastAsia"/>
          <w:szCs w:val="22"/>
          <w:lang w:val="en-US" w:eastAsia="zh-CN"/>
        </w:rPr>
      </w:pPr>
      <w:r>
        <w:rPr>
          <w:rFonts w:hint="eastAsia"/>
          <w:szCs w:val="22"/>
          <w:lang w:val="en-US" w:eastAsia="zh-CN"/>
        </w:rPr>
        <w:t>粉尘控制；</w:t>
      </w:r>
    </w:p>
    <w:p>
      <w:pPr>
        <w:pStyle w:val="21"/>
        <w:numPr>
          <w:ilvl w:val="0"/>
          <w:numId w:val="62"/>
        </w:numPr>
        <w:ind w:left="420" w:leftChars="0" w:firstLine="0" w:firstLineChars="0"/>
        <w:rPr>
          <w:rFonts w:hint="eastAsia"/>
          <w:szCs w:val="22"/>
          <w:lang w:val="en-US" w:eastAsia="zh-CN"/>
        </w:rPr>
      </w:pPr>
      <w:r>
        <w:rPr>
          <w:rFonts w:hint="eastAsia"/>
          <w:szCs w:val="22"/>
          <w:lang w:val="en-US" w:eastAsia="zh-CN"/>
        </w:rPr>
        <w:t>噪声控制；</w:t>
      </w:r>
    </w:p>
    <w:p>
      <w:pPr>
        <w:pStyle w:val="21"/>
        <w:numPr>
          <w:ilvl w:val="0"/>
          <w:numId w:val="62"/>
        </w:numPr>
        <w:ind w:left="420" w:leftChars="0" w:firstLine="0" w:firstLineChars="0"/>
        <w:rPr>
          <w:rFonts w:hint="eastAsia"/>
          <w:szCs w:val="22"/>
          <w:lang w:val="en-US" w:eastAsia="zh-CN"/>
        </w:rPr>
      </w:pPr>
      <w:r>
        <w:rPr>
          <w:rFonts w:hint="eastAsia"/>
          <w:szCs w:val="22"/>
          <w:lang w:val="en-US" w:eastAsia="zh-CN"/>
        </w:rPr>
        <w:t>植被破坏与水土流失。</w:t>
      </w:r>
    </w:p>
    <w:p>
      <w:pPr>
        <w:pStyle w:val="21"/>
        <w:rPr>
          <w:rFonts w:hint="eastAsia"/>
          <w:szCs w:val="22"/>
          <w:lang w:val="en-US" w:eastAsia="zh-CN"/>
        </w:rPr>
      </w:pPr>
      <w:r>
        <w:rPr>
          <w:rFonts w:hint="eastAsia"/>
          <w:szCs w:val="22"/>
          <w:lang w:val="en-US" w:eastAsia="zh-CN"/>
        </w:rPr>
        <w:t>企业应根据施工过程中可能产生的污染气体、废水、废渣、粉尘以及噪声、振动等可能对环境造成的污染和危害的，施工组织设计中应有相应的文明施工及环境保护措施，并经审查批准后方可实施。</w:t>
      </w:r>
    </w:p>
    <w:p>
      <w:pPr>
        <w:pStyle w:val="21"/>
        <w:rPr>
          <w:rFonts w:hint="eastAsia"/>
          <w:szCs w:val="22"/>
          <w:lang w:val="en-US" w:eastAsia="zh-CN"/>
        </w:rPr>
      </w:pPr>
      <w:r>
        <w:rPr>
          <w:rFonts w:hint="eastAsia"/>
          <w:szCs w:val="22"/>
          <w:lang w:val="en-US" w:eastAsia="zh-CN"/>
        </w:rPr>
        <w:t>企业应在重点道路交通严管区域和风景名胜区、重点公共建筑周边等严管地段按照更高标准、更高要求进行文明施工，并在现场增加监管人员。</w:t>
      </w:r>
    </w:p>
    <w:p>
      <w:pPr>
        <w:pStyle w:val="21"/>
        <w:rPr>
          <w:rFonts w:hint="eastAsia"/>
          <w:szCs w:val="22"/>
          <w:lang w:val="en-US" w:eastAsia="zh-CN"/>
        </w:rPr>
      </w:pPr>
      <w:r>
        <w:rPr>
          <w:rFonts w:hint="eastAsia"/>
          <w:szCs w:val="22"/>
          <w:lang w:val="en-US" w:eastAsia="zh-CN"/>
        </w:rPr>
        <w:t xml:space="preserve">施工现场应实现施工封闭化、围栏标准化、标识规范化、措施人性化，确保施工期间周边环境不受污染、现场道路平整、排水畅通和交通安全。 </w:t>
      </w:r>
    </w:p>
    <w:p>
      <w:pPr>
        <w:pStyle w:val="51"/>
        <w:bidi w:val="0"/>
        <w:ind w:left="0" w:leftChars="0" w:firstLine="0" w:firstLineChars="0"/>
        <w:rPr>
          <w:rFonts w:hint="default"/>
          <w:lang w:val="en-US" w:eastAsia="zh-CN"/>
        </w:rPr>
      </w:pPr>
      <w:bookmarkStart w:id="275" w:name="_Toc17746"/>
      <w:bookmarkStart w:id="276" w:name="_Toc32444"/>
      <w:bookmarkStart w:id="277" w:name="_Toc3028"/>
      <w:r>
        <w:rPr>
          <w:rFonts w:hint="eastAsia"/>
          <w:lang w:val="en-US" w:eastAsia="zh-CN"/>
        </w:rPr>
        <w:t>组织协调</w:t>
      </w:r>
      <w:bookmarkEnd w:id="275"/>
      <w:bookmarkEnd w:id="276"/>
      <w:bookmarkEnd w:id="277"/>
    </w:p>
    <w:p>
      <w:pPr>
        <w:pStyle w:val="21"/>
        <w:numPr>
          <w:ilvl w:val="0"/>
          <w:numId w:val="0"/>
        </w:numPr>
        <w:ind w:firstLine="420" w:firstLineChars="200"/>
        <w:rPr>
          <w:rFonts w:hint="eastAsia"/>
          <w:szCs w:val="22"/>
          <w:lang w:val="en-US" w:eastAsia="zh-CN"/>
        </w:rPr>
      </w:pPr>
      <w:r>
        <w:rPr>
          <w:rFonts w:hint="eastAsia"/>
          <w:szCs w:val="22"/>
          <w:lang w:val="en-US" w:eastAsia="zh-CN"/>
        </w:rPr>
        <w:t>为了控制工程项目实施过程中组织协调方面存在的风险，企业应保持与工程建设相关方的沟通、协调，对相关信息进行处理，并保存必要的记录。</w:t>
      </w:r>
    </w:p>
    <w:p>
      <w:pPr>
        <w:pStyle w:val="21"/>
        <w:numPr>
          <w:ilvl w:val="0"/>
          <w:numId w:val="0"/>
        </w:numPr>
        <w:ind w:firstLine="420" w:firstLineChars="200"/>
        <w:rPr>
          <w:rFonts w:hint="eastAsia"/>
          <w:szCs w:val="22"/>
          <w:lang w:val="en-US" w:eastAsia="zh-CN"/>
        </w:rPr>
      </w:pPr>
      <w:r>
        <w:rPr>
          <w:rFonts w:hint="eastAsia"/>
          <w:szCs w:val="22"/>
          <w:lang w:val="en-US" w:eastAsia="zh-CN"/>
        </w:rPr>
        <w:t>沟通、协调应包括下列内容：</w:t>
      </w:r>
    </w:p>
    <w:p>
      <w:pPr>
        <w:pStyle w:val="21"/>
        <w:numPr>
          <w:ilvl w:val="0"/>
          <w:numId w:val="63"/>
        </w:numPr>
        <w:ind w:left="420" w:leftChars="0" w:firstLine="0" w:firstLineChars="0"/>
        <w:rPr>
          <w:rFonts w:hint="eastAsia"/>
          <w:szCs w:val="22"/>
          <w:lang w:val="en-US" w:eastAsia="zh-CN"/>
        </w:rPr>
      </w:pPr>
      <w:r>
        <w:rPr>
          <w:rFonts w:hint="eastAsia"/>
          <w:szCs w:val="22"/>
          <w:lang w:val="en-US" w:eastAsia="zh-CN"/>
        </w:rPr>
        <w:t>建立组织协调准则，明确程序、方式、内容和责任；</w:t>
      </w:r>
    </w:p>
    <w:p>
      <w:pPr>
        <w:pStyle w:val="21"/>
        <w:numPr>
          <w:ilvl w:val="0"/>
          <w:numId w:val="63"/>
        </w:numPr>
        <w:ind w:left="420" w:leftChars="0" w:firstLine="0" w:firstLineChars="0"/>
        <w:rPr>
          <w:rFonts w:hint="eastAsia"/>
          <w:szCs w:val="22"/>
          <w:lang w:val="en-US" w:eastAsia="zh-CN"/>
        </w:rPr>
      </w:pPr>
      <w:r>
        <w:rPr>
          <w:rFonts w:hint="eastAsia"/>
          <w:szCs w:val="22"/>
          <w:lang w:val="en-US" w:eastAsia="zh-CN"/>
        </w:rPr>
        <w:t>运用工地例会、工程例会、专题会议及现场协调方式及时解决施工中存在的问题；</w:t>
      </w:r>
    </w:p>
    <w:p>
      <w:pPr>
        <w:pStyle w:val="21"/>
        <w:numPr>
          <w:ilvl w:val="0"/>
          <w:numId w:val="63"/>
        </w:numPr>
        <w:ind w:left="420" w:leftChars="0" w:firstLine="0" w:firstLineChars="0"/>
        <w:rPr>
          <w:rFonts w:hint="eastAsia"/>
          <w:szCs w:val="22"/>
          <w:lang w:val="en-US" w:eastAsia="zh-CN"/>
        </w:rPr>
      </w:pPr>
      <w:r>
        <w:rPr>
          <w:rFonts w:hint="eastAsia"/>
          <w:szCs w:val="22"/>
          <w:lang w:val="en-US" w:eastAsia="zh-CN"/>
        </w:rPr>
        <w:t>协调甲供材料、设备到货计划，以满足施工进度的要求；</w:t>
      </w:r>
    </w:p>
    <w:p>
      <w:pPr>
        <w:pStyle w:val="21"/>
        <w:numPr>
          <w:ilvl w:val="0"/>
          <w:numId w:val="63"/>
        </w:numPr>
        <w:ind w:left="420" w:leftChars="0" w:firstLine="0" w:firstLineChars="0"/>
        <w:rPr>
          <w:rFonts w:hint="eastAsia"/>
          <w:szCs w:val="22"/>
          <w:lang w:val="en-US" w:eastAsia="zh-CN"/>
        </w:rPr>
      </w:pPr>
      <w:r>
        <w:rPr>
          <w:rFonts w:hint="eastAsia"/>
          <w:szCs w:val="22"/>
          <w:lang w:val="en-US" w:eastAsia="zh-CN"/>
        </w:rPr>
        <w:t>协调设计单位的交图进度，以满足施工进度的要求，及时沟通施工中发现的设计问题；</w:t>
      </w:r>
    </w:p>
    <w:p>
      <w:pPr>
        <w:pStyle w:val="21"/>
        <w:numPr>
          <w:ilvl w:val="0"/>
          <w:numId w:val="63"/>
        </w:numPr>
        <w:ind w:left="420" w:leftChars="0" w:firstLine="0" w:firstLineChars="0"/>
        <w:rPr>
          <w:rFonts w:hint="eastAsia"/>
          <w:szCs w:val="22"/>
          <w:lang w:val="en-US" w:eastAsia="zh-CN"/>
        </w:rPr>
      </w:pPr>
      <w:r>
        <w:rPr>
          <w:rFonts w:hint="eastAsia"/>
          <w:szCs w:val="22"/>
          <w:lang w:val="en-US" w:eastAsia="zh-CN"/>
        </w:rPr>
        <w:t>协调解决政府部门及其他单位的问题；</w:t>
      </w:r>
    </w:p>
    <w:p>
      <w:pPr>
        <w:pStyle w:val="21"/>
        <w:numPr>
          <w:ilvl w:val="0"/>
          <w:numId w:val="63"/>
        </w:numPr>
        <w:ind w:left="420" w:leftChars="0" w:firstLine="0" w:firstLineChars="0"/>
        <w:rPr>
          <w:rFonts w:hint="eastAsia"/>
          <w:szCs w:val="22"/>
          <w:lang w:val="en-US" w:eastAsia="zh-CN"/>
        </w:rPr>
      </w:pPr>
      <w:r>
        <w:rPr>
          <w:rFonts w:hint="eastAsia"/>
          <w:szCs w:val="22"/>
          <w:lang w:val="en-US" w:eastAsia="zh-CN"/>
        </w:rPr>
        <w:t>工程安全检查情况；</w:t>
      </w:r>
    </w:p>
    <w:p>
      <w:pPr>
        <w:pStyle w:val="21"/>
        <w:numPr>
          <w:ilvl w:val="0"/>
          <w:numId w:val="63"/>
        </w:numPr>
        <w:ind w:left="420" w:leftChars="0" w:firstLine="0" w:firstLineChars="0"/>
        <w:rPr>
          <w:rFonts w:hint="eastAsia"/>
          <w:szCs w:val="22"/>
          <w:lang w:val="en-US" w:eastAsia="zh-CN"/>
        </w:rPr>
      </w:pPr>
      <w:r>
        <w:rPr>
          <w:rFonts w:hint="eastAsia"/>
          <w:szCs w:val="22"/>
          <w:lang w:val="en-US" w:eastAsia="zh-CN"/>
        </w:rPr>
        <w:t>工程隐患（若有）；</w:t>
      </w:r>
    </w:p>
    <w:p>
      <w:pPr>
        <w:pStyle w:val="21"/>
        <w:numPr>
          <w:ilvl w:val="0"/>
          <w:numId w:val="63"/>
        </w:numPr>
        <w:ind w:left="420" w:leftChars="0" w:firstLine="0" w:firstLineChars="0"/>
        <w:rPr>
          <w:rFonts w:hint="eastAsia"/>
          <w:szCs w:val="22"/>
          <w:lang w:val="en-US" w:eastAsia="zh-CN"/>
        </w:rPr>
      </w:pPr>
      <w:r>
        <w:rPr>
          <w:rFonts w:hint="eastAsia"/>
          <w:szCs w:val="22"/>
          <w:lang w:val="en-US" w:eastAsia="zh-CN"/>
        </w:rPr>
        <w:t>工程变更与洽商要求；</w:t>
      </w:r>
    </w:p>
    <w:p>
      <w:pPr>
        <w:pStyle w:val="21"/>
        <w:numPr>
          <w:ilvl w:val="0"/>
          <w:numId w:val="63"/>
        </w:numPr>
        <w:ind w:left="420" w:leftChars="0" w:firstLine="0" w:firstLineChars="0"/>
        <w:rPr>
          <w:rFonts w:hint="eastAsia"/>
          <w:lang w:val="en-US" w:eastAsia="zh-CN"/>
        </w:rPr>
      </w:pPr>
      <w:r>
        <w:rPr>
          <w:rFonts w:hint="eastAsia"/>
          <w:szCs w:val="22"/>
          <w:lang w:val="en-US" w:eastAsia="zh-CN"/>
        </w:rPr>
        <w:t>工程安全有关的其他事项。</w:t>
      </w:r>
    </w:p>
    <w:p>
      <w:pPr>
        <w:pStyle w:val="51"/>
        <w:bidi w:val="0"/>
        <w:ind w:left="0" w:leftChars="0" w:firstLine="0" w:firstLineChars="0"/>
        <w:rPr>
          <w:rFonts w:hint="default"/>
          <w:lang w:val="en-US" w:eastAsia="zh-CN"/>
        </w:rPr>
      </w:pPr>
      <w:bookmarkStart w:id="278" w:name="_Toc4235"/>
      <w:bookmarkStart w:id="279" w:name="_Toc12267"/>
      <w:bookmarkStart w:id="280" w:name="_Toc17530"/>
      <w:r>
        <w:rPr>
          <w:rFonts w:hint="eastAsia"/>
          <w:lang w:val="en-US" w:eastAsia="zh-CN"/>
        </w:rPr>
        <w:t>成本管理</w:t>
      </w:r>
      <w:bookmarkEnd w:id="278"/>
      <w:bookmarkEnd w:id="279"/>
      <w:bookmarkEnd w:id="280"/>
    </w:p>
    <w:p>
      <w:pPr>
        <w:pStyle w:val="21"/>
        <w:rPr>
          <w:rFonts w:hint="eastAsia"/>
          <w:lang w:val="en-US" w:eastAsia="zh-CN"/>
        </w:rPr>
      </w:pPr>
      <w:r>
        <w:rPr>
          <w:rFonts w:hint="default"/>
          <w:lang w:val="en-US" w:eastAsia="zh-CN"/>
        </w:rPr>
        <w:t>成本管理应以规范化与标准化管理为导向，逐步实现成本的精细化管理</w:t>
      </w:r>
      <w:r>
        <w:rPr>
          <w:rFonts w:hint="eastAsia"/>
          <w:lang w:val="en-US" w:eastAsia="zh-CN"/>
        </w:rPr>
        <w:t>。</w:t>
      </w:r>
    </w:p>
    <w:p>
      <w:pPr>
        <w:pStyle w:val="21"/>
        <w:rPr>
          <w:rFonts w:hint="default"/>
          <w:lang w:val="en-US" w:eastAsia="zh-CN"/>
        </w:rPr>
      </w:pPr>
      <w:r>
        <w:rPr>
          <w:rFonts w:hint="eastAsia"/>
          <w:lang w:val="en-US" w:eastAsia="zh-CN"/>
        </w:rPr>
        <w:t>企业应</w:t>
      </w:r>
      <w:r>
        <w:rPr>
          <w:rFonts w:hint="default"/>
          <w:lang w:val="en-US" w:eastAsia="zh-CN"/>
        </w:rPr>
        <w:t>建立成本管理</w:t>
      </w:r>
      <w:r>
        <w:rPr>
          <w:rFonts w:hint="eastAsia"/>
          <w:lang w:val="en-US" w:eastAsia="zh-CN"/>
        </w:rPr>
        <w:t>制度</w:t>
      </w:r>
      <w:r>
        <w:rPr>
          <w:rFonts w:hint="default"/>
          <w:lang w:val="en-US" w:eastAsia="zh-CN"/>
        </w:rPr>
        <w:t>，制定科学合理的成本目标，作为成本控制、评价及考核依据，提高成本使用效率。</w:t>
      </w:r>
    </w:p>
    <w:p>
      <w:pPr>
        <w:pStyle w:val="21"/>
        <w:rPr>
          <w:rFonts w:hint="default"/>
          <w:lang w:val="en-US" w:eastAsia="zh-CN"/>
        </w:rPr>
      </w:pPr>
      <w:r>
        <w:rPr>
          <w:rFonts w:hint="eastAsia"/>
          <w:lang w:val="en-US" w:eastAsia="zh-CN"/>
        </w:rPr>
        <w:t>成本管理包括但不限于以下：</w:t>
      </w:r>
    </w:p>
    <w:p>
      <w:pPr>
        <w:pStyle w:val="21"/>
        <w:numPr>
          <w:ilvl w:val="0"/>
          <w:numId w:val="64"/>
        </w:numPr>
        <w:ind w:left="420" w:leftChars="0" w:firstLine="0" w:firstLineChars="0"/>
        <w:rPr>
          <w:rFonts w:hint="eastAsia"/>
          <w:szCs w:val="22"/>
          <w:lang w:val="en-US" w:eastAsia="zh-CN"/>
        </w:rPr>
      </w:pPr>
      <w:r>
        <w:rPr>
          <w:rFonts w:hint="eastAsia"/>
          <w:szCs w:val="22"/>
          <w:lang w:val="en-US" w:eastAsia="zh-CN"/>
        </w:rPr>
        <w:t>成本预算；</w:t>
      </w:r>
    </w:p>
    <w:p>
      <w:pPr>
        <w:pStyle w:val="21"/>
        <w:numPr>
          <w:ilvl w:val="0"/>
          <w:numId w:val="64"/>
        </w:numPr>
        <w:ind w:left="420" w:leftChars="0" w:firstLine="0" w:firstLineChars="0"/>
        <w:rPr>
          <w:rFonts w:hint="default"/>
          <w:lang w:val="en-US" w:eastAsia="zh-CN"/>
        </w:rPr>
      </w:pPr>
      <w:r>
        <w:rPr>
          <w:rFonts w:hint="eastAsia"/>
          <w:szCs w:val="22"/>
          <w:lang w:val="en-US" w:eastAsia="zh-CN"/>
        </w:rPr>
        <w:t>成本核算</w:t>
      </w:r>
      <w:r>
        <w:rPr>
          <w:rFonts w:hint="eastAsia"/>
          <w:lang w:val="en-US" w:eastAsia="zh-CN"/>
        </w:rPr>
        <w:t>；</w:t>
      </w:r>
    </w:p>
    <w:p>
      <w:pPr>
        <w:pStyle w:val="21"/>
        <w:numPr>
          <w:ilvl w:val="0"/>
          <w:numId w:val="64"/>
        </w:numPr>
        <w:ind w:left="420" w:leftChars="0" w:firstLine="0" w:firstLineChars="0"/>
        <w:rPr>
          <w:rFonts w:hint="eastAsia"/>
          <w:szCs w:val="22"/>
          <w:lang w:val="en-US" w:eastAsia="zh-CN"/>
        </w:rPr>
      </w:pPr>
      <w:r>
        <w:rPr>
          <w:rFonts w:hint="eastAsia"/>
          <w:szCs w:val="22"/>
          <w:lang w:val="en-US" w:eastAsia="zh-CN"/>
        </w:rPr>
        <w:t>成本控制；</w:t>
      </w:r>
    </w:p>
    <w:p>
      <w:pPr>
        <w:pStyle w:val="21"/>
        <w:numPr>
          <w:ilvl w:val="0"/>
          <w:numId w:val="64"/>
        </w:numPr>
        <w:ind w:left="420" w:leftChars="0" w:firstLine="0" w:firstLineChars="0"/>
        <w:rPr>
          <w:rFonts w:hint="default"/>
          <w:lang w:val="en-US" w:eastAsia="zh-CN"/>
        </w:rPr>
      </w:pPr>
      <w:r>
        <w:rPr>
          <w:rFonts w:hint="eastAsia"/>
          <w:szCs w:val="22"/>
          <w:lang w:val="en-US" w:eastAsia="zh-CN"/>
        </w:rPr>
        <w:t>成本分析。</w:t>
      </w:r>
    </w:p>
    <w:p>
      <w:pPr>
        <w:pStyle w:val="51"/>
        <w:bidi w:val="0"/>
        <w:ind w:left="0" w:leftChars="0" w:firstLine="0" w:firstLineChars="0"/>
        <w:rPr>
          <w:rFonts w:hint="default"/>
          <w:lang w:val="en-US" w:eastAsia="zh-CN"/>
        </w:rPr>
      </w:pPr>
      <w:bookmarkStart w:id="281" w:name="_Toc4775"/>
      <w:bookmarkStart w:id="282" w:name="_Toc1069"/>
      <w:bookmarkStart w:id="283" w:name="_Toc26149"/>
      <w:r>
        <w:rPr>
          <w:rFonts w:hint="default"/>
          <w:lang w:val="en-US" w:eastAsia="zh-CN"/>
        </w:rPr>
        <w:t>变更控制</w:t>
      </w:r>
      <w:bookmarkEnd w:id="281"/>
      <w:bookmarkEnd w:id="282"/>
      <w:bookmarkEnd w:id="283"/>
    </w:p>
    <w:p>
      <w:pPr>
        <w:pStyle w:val="21"/>
        <w:rPr>
          <w:rFonts w:hint="eastAsia"/>
          <w:lang w:val="en-US" w:eastAsia="zh-CN"/>
        </w:rPr>
      </w:pPr>
      <w:r>
        <w:rPr>
          <w:rFonts w:hint="eastAsia"/>
          <w:lang w:val="en-US" w:eastAsia="zh-CN"/>
        </w:rPr>
        <w:t>工程项目施工过程发生变化时，企业应对施工变更进行评估和控制。</w:t>
      </w:r>
    </w:p>
    <w:p>
      <w:pPr>
        <w:pStyle w:val="21"/>
        <w:rPr>
          <w:rFonts w:hint="eastAsia"/>
          <w:lang w:val="en-US" w:eastAsia="zh-CN"/>
        </w:rPr>
      </w:pPr>
      <w:r>
        <w:rPr>
          <w:rFonts w:hint="eastAsia"/>
          <w:lang w:val="en-US" w:eastAsia="zh-CN"/>
        </w:rPr>
        <w:t>企业应规定相关层次施工变更的管理范围、岗位责任和工作权限，明确施工变更的工作流程和方法。</w:t>
      </w:r>
    </w:p>
    <w:p>
      <w:pPr>
        <w:pStyle w:val="21"/>
        <w:rPr>
          <w:rFonts w:hint="eastAsia"/>
          <w:lang w:val="en-US" w:eastAsia="zh-CN"/>
        </w:rPr>
      </w:pPr>
      <w:r>
        <w:rPr>
          <w:rFonts w:hint="eastAsia"/>
          <w:lang w:val="en-US" w:eastAsia="zh-CN"/>
        </w:rPr>
        <w:t>施工变更控制应确保质量偏差、安全风险得到有效预防，应依据下列程序实施：</w:t>
      </w:r>
    </w:p>
    <w:p>
      <w:pPr>
        <w:pStyle w:val="21"/>
        <w:numPr>
          <w:ilvl w:val="0"/>
          <w:numId w:val="65"/>
        </w:numPr>
        <w:ind w:left="420" w:leftChars="0" w:firstLine="0" w:firstLineChars="0"/>
        <w:rPr>
          <w:rFonts w:hint="eastAsia"/>
          <w:szCs w:val="22"/>
          <w:lang w:val="en-US" w:eastAsia="zh-CN"/>
        </w:rPr>
      </w:pPr>
      <w:r>
        <w:rPr>
          <w:rFonts w:hint="eastAsia"/>
          <w:szCs w:val="22"/>
          <w:lang w:val="en-US" w:eastAsia="zh-CN"/>
        </w:rPr>
        <w:t>变更的需求和原因确认；</w:t>
      </w:r>
    </w:p>
    <w:p>
      <w:pPr>
        <w:pStyle w:val="21"/>
        <w:numPr>
          <w:ilvl w:val="0"/>
          <w:numId w:val="65"/>
        </w:numPr>
        <w:ind w:left="420" w:leftChars="0" w:firstLine="0" w:firstLineChars="0"/>
        <w:rPr>
          <w:rFonts w:hint="eastAsia"/>
          <w:szCs w:val="22"/>
          <w:lang w:val="en-US" w:eastAsia="zh-CN"/>
        </w:rPr>
      </w:pPr>
      <w:r>
        <w:rPr>
          <w:rFonts w:hint="eastAsia"/>
          <w:szCs w:val="22"/>
          <w:lang w:val="en-US" w:eastAsia="zh-CN"/>
        </w:rPr>
        <w:t>变更的沟通与协商；</w:t>
      </w:r>
    </w:p>
    <w:p>
      <w:pPr>
        <w:pStyle w:val="21"/>
        <w:numPr>
          <w:ilvl w:val="0"/>
          <w:numId w:val="65"/>
        </w:numPr>
        <w:ind w:left="420" w:leftChars="0" w:firstLine="0" w:firstLineChars="0"/>
        <w:rPr>
          <w:rFonts w:hint="eastAsia"/>
          <w:szCs w:val="22"/>
          <w:lang w:val="en-US" w:eastAsia="zh-CN"/>
        </w:rPr>
      </w:pPr>
      <w:r>
        <w:rPr>
          <w:rFonts w:hint="eastAsia"/>
          <w:szCs w:val="22"/>
          <w:lang w:val="en-US" w:eastAsia="zh-CN"/>
        </w:rPr>
        <w:t>变更文件的确认或批准；</w:t>
      </w:r>
    </w:p>
    <w:p>
      <w:pPr>
        <w:pStyle w:val="21"/>
        <w:numPr>
          <w:ilvl w:val="0"/>
          <w:numId w:val="65"/>
        </w:numPr>
        <w:ind w:left="420" w:leftChars="0" w:firstLine="0" w:firstLineChars="0"/>
        <w:rPr>
          <w:rFonts w:hint="eastAsia"/>
          <w:szCs w:val="22"/>
          <w:lang w:val="en-US" w:eastAsia="zh-CN"/>
        </w:rPr>
      </w:pPr>
      <w:r>
        <w:rPr>
          <w:rFonts w:hint="eastAsia"/>
          <w:szCs w:val="22"/>
          <w:lang w:val="en-US" w:eastAsia="zh-CN"/>
        </w:rPr>
        <w:t>变更管理措施的制定与实施；</w:t>
      </w:r>
    </w:p>
    <w:p>
      <w:pPr>
        <w:pStyle w:val="21"/>
        <w:numPr>
          <w:ilvl w:val="0"/>
          <w:numId w:val="65"/>
        </w:numPr>
        <w:ind w:left="420" w:leftChars="0" w:firstLine="0" w:firstLineChars="0"/>
        <w:rPr>
          <w:rFonts w:hint="eastAsia"/>
          <w:szCs w:val="22"/>
          <w:lang w:val="en-US" w:eastAsia="zh-CN"/>
        </w:rPr>
      </w:pPr>
      <w:r>
        <w:rPr>
          <w:rFonts w:hint="eastAsia"/>
          <w:szCs w:val="22"/>
          <w:lang w:val="en-US" w:eastAsia="zh-CN"/>
        </w:rPr>
        <w:t>变更管理措施有效性的评价。</w:t>
      </w:r>
    </w:p>
    <w:p>
      <w:pPr>
        <w:pStyle w:val="21"/>
        <w:rPr>
          <w:rFonts w:hint="default"/>
          <w:lang w:val="en-US" w:eastAsia="zh-CN"/>
        </w:rPr>
      </w:pPr>
      <w:r>
        <w:rPr>
          <w:rFonts w:hint="eastAsia"/>
          <w:lang w:val="en-US" w:eastAsia="zh-CN"/>
        </w:rPr>
        <w:t>企业应实施和跟踪施工变更管理，进行偏差控制。</w:t>
      </w:r>
    </w:p>
    <w:p>
      <w:pPr>
        <w:pStyle w:val="51"/>
        <w:bidi w:val="0"/>
        <w:ind w:left="0" w:leftChars="0" w:firstLine="0" w:firstLineChars="0"/>
        <w:rPr>
          <w:rFonts w:hint="default"/>
          <w:lang w:val="en-US" w:eastAsia="zh-CN"/>
        </w:rPr>
      </w:pPr>
      <w:bookmarkStart w:id="284" w:name="_Toc13795"/>
      <w:bookmarkStart w:id="285" w:name="_Toc12917"/>
      <w:bookmarkStart w:id="286" w:name="_Toc24796"/>
      <w:r>
        <w:rPr>
          <w:rFonts w:hint="eastAsia"/>
          <w:lang w:val="en-US" w:eastAsia="zh-CN"/>
        </w:rPr>
        <w:t>竣工验收</w:t>
      </w:r>
      <w:bookmarkEnd w:id="284"/>
      <w:bookmarkEnd w:id="285"/>
      <w:bookmarkEnd w:id="286"/>
    </w:p>
    <w:p>
      <w:pPr>
        <w:pStyle w:val="21"/>
        <w:rPr>
          <w:rFonts w:hint="default"/>
          <w:lang w:val="en-US" w:eastAsia="zh-CN"/>
        </w:rPr>
      </w:pPr>
      <w:r>
        <w:rPr>
          <w:rFonts w:hint="eastAsia"/>
          <w:lang w:val="en-US" w:eastAsia="zh-CN"/>
        </w:rPr>
        <w:t>企业应在启动验收前检查工程是否满足启动条件，完成并提交工程质量评估报告和相关验收所需的资料，包括但不限于以下：</w:t>
      </w:r>
    </w:p>
    <w:p>
      <w:pPr>
        <w:pStyle w:val="21"/>
        <w:numPr>
          <w:ilvl w:val="0"/>
          <w:numId w:val="66"/>
        </w:numPr>
        <w:ind w:left="420" w:leftChars="0" w:firstLine="0" w:firstLineChars="0"/>
        <w:rPr>
          <w:rFonts w:hint="default"/>
          <w:szCs w:val="22"/>
          <w:lang w:val="en-US" w:eastAsia="zh-CN"/>
        </w:rPr>
      </w:pPr>
      <w:r>
        <w:rPr>
          <w:rFonts w:hint="default"/>
          <w:szCs w:val="22"/>
          <w:lang w:val="en-US" w:eastAsia="zh-CN"/>
        </w:rPr>
        <w:t>明确业主关于工程项目验收的程序和标准</w:t>
      </w:r>
      <w:r>
        <w:rPr>
          <w:rFonts w:hint="eastAsia"/>
          <w:szCs w:val="22"/>
          <w:lang w:val="en-US" w:eastAsia="zh-CN"/>
        </w:rPr>
        <w:t>；</w:t>
      </w:r>
    </w:p>
    <w:p>
      <w:pPr>
        <w:pStyle w:val="21"/>
        <w:numPr>
          <w:ilvl w:val="0"/>
          <w:numId w:val="66"/>
        </w:numPr>
        <w:ind w:left="420" w:leftChars="0" w:firstLine="0" w:firstLineChars="0"/>
        <w:rPr>
          <w:rFonts w:hint="default"/>
          <w:szCs w:val="22"/>
          <w:lang w:val="en-US" w:eastAsia="zh-CN"/>
        </w:rPr>
      </w:pPr>
      <w:r>
        <w:rPr>
          <w:rFonts w:hint="default"/>
          <w:szCs w:val="22"/>
          <w:lang w:val="en-US" w:eastAsia="zh-CN"/>
        </w:rPr>
        <w:t>针对工程项目、设备或相关辅助系统以及质量控制关键点、隐蔽工程建立对应的验收标准</w:t>
      </w:r>
      <w:r>
        <w:rPr>
          <w:rFonts w:hint="eastAsia"/>
          <w:szCs w:val="22"/>
          <w:lang w:val="en-US" w:eastAsia="zh-CN"/>
        </w:rPr>
        <w:t>，</w:t>
      </w:r>
      <w:r>
        <w:rPr>
          <w:rFonts w:hint="default"/>
          <w:szCs w:val="22"/>
          <w:lang w:val="en-US" w:eastAsia="zh-CN"/>
        </w:rPr>
        <w:t>验收标准是否包括：</w:t>
      </w:r>
    </w:p>
    <w:p>
      <w:pPr>
        <w:pStyle w:val="21"/>
        <w:numPr>
          <w:ilvl w:val="0"/>
          <w:numId w:val="0"/>
        </w:numPr>
        <w:ind w:left="420" w:leftChars="0" w:firstLine="420" w:firstLineChars="200"/>
        <w:rPr>
          <w:rFonts w:hint="default"/>
          <w:szCs w:val="22"/>
          <w:lang w:val="en-US" w:eastAsia="zh-CN"/>
        </w:rPr>
      </w:pPr>
      <w:r>
        <w:rPr>
          <w:rFonts w:hint="eastAsia"/>
          <w:szCs w:val="22"/>
          <w:lang w:val="en-US" w:eastAsia="zh-CN"/>
        </w:rPr>
        <w:t>1）</w:t>
      </w:r>
      <w:r>
        <w:rPr>
          <w:rFonts w:hint="default"/>
          <w:szCs w:val="22"/>
          <w:lang w:val="en-US" w:eastAsia="zh-CN"/>
        </w:rPr>
        <w:t>验收项目和标准要求；</w:t>
      </w:r>
    </w:p>
    <w:p>
      <w:pPr>
        <w:pStyle w:val="21"/>
        <w:numPr>
          <w:ilvl w:val="0"/>
          <w:numId w:val="0"/>
        </w:numPr>
        <w:ind w:left="420" w:leftChars="0" w:firstLine="420" w:firstLineChars="200"/>
        <w:rPr>
          <w:rFonts w:hint="default"/>
          <w:szCs w:val="22"/>
          <w:lang w:val="en-US" w:eastAsia="zh-CN"/>
        </w:rPr>
      </w:pPr>
      <w:r>
        <w:rPr>
          <w:rFonts w:hint="eastAsia"/>
          <w:szCs w:val="22"/>
          <w:lang w:val="en-US" w:eastAsia="zh-CN"/>
        </w:rPr>
        <w:t>2）</w:t>
      </w:r>
      <w:r>
        <w:rPr>
          <w:rFonts w:hint="default"/>
          <w:szCs w:val="22"/>
          <w:lang w:val="en-US" w:eastAsia="zh-CN"/>
        </w:rPr>
        <w:t>图纸资料与技术档案清单与交接要求；</w:t>
      </w:r>
    </w:p>
    <w:p>
      <w:pPr>
        <w:pStyle w:val="21"/>
        <w:numPr>
          <w:ilvl w:val="0"/>
          <w:numId w:val="0"/>
        </w:numPr>
        <w:ind w:left="420" w:leftChars="0" w:firstLine="420" w:firstLineChars="200"/>
        <w:rPr>
          <w:rFonts w:hint="default"/>
          <w:szCs w:val="22"/>
          <w:lang w:val="en-US" w:eastAsia="zh-CN"/>
        </w:rPr>
      </w:pPr>
      <w:r>
        <w:rPr>
          <w:rFonts w:hint="eastAsia"/>
          <w:szCs w:val="22"/>
          <w:lang w:val="en-US" w:eastAsia="zh-CN"/>
        </w:rPr>
        <w:t>3）</w:t>
      </w:r>
      <w:r>
        <w:rPr>
          <w:rFonts w:hint="default"/>
          <w:szCs w:val="22"/>
          <w:lang w:val="en-US" w:eastAsia="zh-CN"/>
        </w:rPr>
        <w:t>过程记录与试验数据清单与交接要求。</w:t>
      </w:r>
    </w:p>
    <w:p>
      <w:pPr>
        <w:pStyle w:val="21"/>
        <w:numPr>
          <w:ilvl w:val="0"/>
          <w:numId w:val="66"/>
        </w:numPr>
        <w:ind w:left="420" w:leftChars="0" w:firstLine="0" w:firstLineChars="0"/>
        <w:rPr>
          <w:rFonts w:hint="default"/>
          <w:szCs w:val="22"/>
          <w:lang w:val="en-US" w:eastAsia="zh-CN"/>
        </w:rPr>
      </w:pPr>
      <w:r>
        <w:rPr>
          <w:rFonts w:hint="default"/>
          <w:szCs w:val="22"/>
          <w:lang w:val="en-US" w:eastAsia="zh-CN"/>
        </w:rPr>
        <w:t>依据上述要求组织开展项目的预检及竣工验收</w:t>
      </w:r>
      <w:r>
        <w:rPr>
          <w:rFonts w:hint="eastAsia"/>
          <w:szCs w:val="22"/>
          <w:lang w:val="en-US" w:eastAsia="zh-CN"/>
        </w:rPr>
        <w:t>；</w:t>
      </w:r>
    </w:p>
    <w:p>
      <w:pPr>
        <w:pStyle w:val="21"/>
        <w:numPr>
          <w:ilvl w:val="0"/>
          <w:numId w:val="66"/>
        </w:numPr>
        <w:ind w:left="420" w:leftChars="0" w:firstLine="0" w:firstLineChars="0"/>
        <w:rPr>
          <w:rFonts w:hint="default"/>
          <w:szCs w:val="22"/>
          <w:lang w:val="en-US" w:eastAsia="zh-CN"/>
        </w:rPr>
      </w:pPr>
      <w:r>
        <w:rPr>
          <w:rFonts w:hint="default"/>
          <w:szCs w:val="22"/>
          <w:lang w:val="en-US" w:eastAsia="zh-CN"/>
        </w:rPr>
        <w:t>验收发现问题及时反馈并制订改进措施</w:t>
      </w:r>
      <w:r>
        <w:rPr>
          <w:rFonts w:hint="eastAsia"/>
          <w:szCs w:val="22"/>
          <w:lang w:val="en-US" w:eastAsia="zh-CN"/>
        </w:rPr>
        <w:t>，</w:t>
      </w:r>
      <w:r>
        <w:rPr>
          <w:rFonts w:hint="default"/>
          <w:szCs w:val="22"/>
          <w:lang w:val="en-US" w:eastAsia="zh-CN"/>
        </w:rPr>
        <w:t>对遗留问题</w:t>
      </w:r>
      <w:r>
        <w:rPr>
          <w:rFonts w:hint="eastAsia"/>
          <w:szCs w:val="22"/>
          <w:lang w:val="en-US" w:eastAsia="zh-CN"/>
        </w:rPr>
        <w:t>由</w:t>
      </w:r>
      <w:r>
        <w:rPr>
          <w:rFonts w:hint="default"/>
          <w:szCs w:val="22"/>
          <w:lang w:val="en-US" w:eastAsia="zh-CN"/>
        </w:rPr>
        <w:t>双方共同认可的控制措施和完善计划</w:t>
      </w:r>
      <w:r>
        <w:rPr>
          <w:rFonts w:hint="eastAsia"/>
          <w:szCs w:val="22"/>
          <w:lang w:val="en-US" w:eastAsia="zh-CN"/>
        </w:rPr>
        <w:t>；</w:t>
      </w:r>
    </w:p>
    <w:p>
      <w:pPr>
        <w:pStyle w:val="21"/>
        <w:numPr>
          <w:ilvl w:val="0"/>
          <w:numId w:val="66"/>
        </w:numPr>
        <w:ind w:left="420" w:leftChars="0" w:firstLine="0" w:firstLineChars="0"/>
        <w:rPr>
          <w:rFonts w:hint="default"/>
          <w:szCs w:val="22"/>
          <w:lang w:val="en-US" w:eastAsia="zh-CN"/>
        </w:rPr>
      </w:pPr>
      <w:r>
        <w:rPr>
          <w:rFonts w:hint="default"/>
          <w:szCs w:val="22"/>
          <w:lang w:val="en-US" w:eastAsia="zh-CN"/>
        </w:rPr>
        <w:t>所有工程项目的质量控制关键点、隐蔽工程以及交接验收执行过程及记录符合规定</w:t>
      </w:r>
      <w:r>
        <w:rPr>
          <w:rFonts w:hint="eastAsia"/>
          <w:szCs w:val="22"/>
          <w:lang w:val="en-US" w:eastAsia="zh-CN"/>
        </w:rPr>
        <w:t>；</w:t>
      </w:r>
    </w:p>
    <w:p>
      <w:pPr>
        <w:pStyle w:val="21"/>
        <w:numPr>
          <w:ilvl w:val="0"/>
          <w:numId w:val="66"/>
        </w:numPr>
        <w:ind w:left="420" w:leftChars="0" w:firstLine="0" w:firstLineChars="0"/>
        <w:rPr>
          <w:rFonts w:hint="eastAsia"/>
          <w:szCs w:val="22"/>
          <w:lang w:val="en-US" w:eastAsia="zh-CN"/>
        </w:rPr>
      </w:pPr>
      <w:r>
        <w:rPr>
          <w:rFonts w:hint="default"/>
          <w:szCs w:val="22"/>
          <w:lang w:val="en-US" w:eastAsia="zh-CN"/>
        </w:rPr>
        <w:t>图纸资料、试验报告、验收记录齐全，按程序规定的时限、内容进行了确认和移交</w:t>
      </w:r>
      <w:r>
        <w:rPr>
          <w:rFonts w:hint="eastAsia"/>
          <w:szCs w:val="22"/>
          <w:lang w:val="en-US" w:eastAsia="zh-CN"/>
        </w:rPr>
        <w:t>。</w:t>
      </w:r>
    </w:p>
    <w:p>
      <w:pPr>
        <w:pStyle w:val="51"/>
        <w:bidi w:val="0"/>
        <w:ind w:left="0" w:leftChars="0" w:firstLine="0" w:firstLineChars="0"/>
        <w:rPr>
          <w:rFonts w:hint="default"/>
          <w:lang w:val="en-US" w:eastAsia="zh-CN"/>
        </w:rPr>
      </w:pPr>
      <w:bookmarkStart w:id="287" w:name="_Toc23449"/>
      <w:bookmarkStart w:id="288" w:name="_Toc19182"/>
      <w:bookmarkStart w:id="289" w:name="_Toc4310"/>
      <w:r>
        <w:rPr>
          <w:rFonts w:hint="eastAsia"/>
          <w:lang w:val="en-US" w:eastAsia="zh-CN"/>
        </w:rPr>
        <w:t>交付服务</w:t>
      </w:r>
      <w:bookmarkEnd w:id="287"/>
      <w:bookmarkEnd w:id="288"/>
      <w:bookmarkEnd w:id="289"/>
    </w:p>
    <w:p>
      <w:pPr>
        <w:pStyle w:val="21"/>
        <w:rPr>
          <w:rFonts w:hint="eastAsia"/>
          <w:lang w:val="en-US" w:eastAsia="zh-CN"/>
        </w:rPr>
      </w:pPr>
      <w:r>
        <w:rPr>
          <w:rFonts w:hint="eastAsia"/>
          <w:lang w:val="en-US" w:eastAsia="zh-CN"/>
        </w:rPr>
        <w:t>企业应按工程合同约定进行工程竣工交付。</w:t>
      </w:r>
    </w:p>
    <w:p>
      <w:pPr>
        <w:pStyle w:val="21"/>
        <w:rPr>
          <w:rFonts w:hint="eastAsia"/>
          <w:lang w:val="en-US" w:eastAsia="zh-CN"/>
        </w:rPr>
      </w:pPr>
      <w:r>
        <w:rPr>
          <w:rFonts w:hint="eastAsia"/>
          <w:lang w:val="en-US" w:eastAsia="zh-CN"/>
        </w:rPr>
        <w:t>企业应策划并组织服务活动的实施。</w:t>
      </w:r>
    </w:p>
    <w:p>
      <w:pPr>
        <w:pStyle w:val="21"/>
        <w:rPr>
          <w:rFonts w:hint="eastAsia"/>
          <w:lang w:val="en-US" w:eastAsia="zh-CN"/>
        </w:rPr>
      </w:pPr>
      <w:r>
        <w:rPr>
          <w:rFonts w:hint="eastAsia"/>
          <w:lang w:val="en-US" w:eastAsia="zh-CN"/>
        </w:rPr>
        <w:t>服务活动可包括下列内容：</w:t>
      </w:r>
    </w:p>
    <w:p>
      <w:pPr>
        <w:pStyle w:val="21"/>
        <w:numPr>
          <w:ilvl w:val="0"/>
          <w:numId w:val="67"/>
        </w:numPr>
        <w:ind w:left="420" w:leftChars="0" w:firstLine="0" w:firstLineChars="0"/>
        <w:rPr>
          <w:rFonts w:hint="eastAsia"/>
          <w:szCs w:val="22"/>
          <w:lang w:val="en-US" w:eastAsia="zh-CN"/>
        </w:rPr>
      </w:pPr>
      <w:r>
        <w:rPr>
          <w:rFonts w:hint="eastAsia"/>
          <w:szCs w:val="22"/>
          <w:lang w:val="en-US" w:eastAsia="zh-CN"/>
        </w:rPr>
        <w:t>工程保修；</w:t>
      </w:r>
    </w:p>
    <w:p>
      <w:pPr>
        <w:pStyle w:val="21"/>
        <w:numPr>
          <w:ilvl w:val="0"/>
          <w:numId w:val="67"/>
        </w:numPr>
        <w:ind w:left="420" w:leftChars="0" w:firstLine="0" w:firstLineChars="0"/>
        <w:rPr>
          <w:rFonts w:hint="eastAsia"/>
          <w:szCs w:val="22"/>
          <w:lang w:val="en-US" w:eastAsia="zh-CN"/>
        </w:rPr>
      </w:pPr>
      <w:r>
        <w:rPr>
          <w:rFonts w:hint="eastAsia"/>
          <w:szCs w:val="22"/>
          <w:lang w:val="en-US" w:eastAsia="zh-CN"/>
        </w:rPr>
        <w:t>提供工程使用说明；</w:t>
      </w:r>
    </w:p>
    <w:p>
      <w:pPr>
        <w:pStyle w:val="21"/>
        <w:numPr>
          <w:ilvl w:val="0"/>
          <w:numId w:val="67"/>
        </w:numPr>
        <w:ind w:left="420" w:leftChars="0" w:firstLine="0" w:firstLineChars="0"/>
        <w:rPr>
          <w:rFonts w:hint="eastAsia"/>
          <w:szCs w:val="22"/>
          <w:lang w:val="en-US" w:eastAsia="zh-CN"/>
        </w:rPr>
      </w:pPr>
      <w:r>
        <w:rPr>
          <w:rFonts w:hint="eastAsia"/>
          <w:szCs w:val="22"/>
          <w:lang w:val="en-US" w:eastAsia="zh-CN"/>
        </w:rPr>
        <w:t>非保修范围内的维修；</w:t>
      </w:r>
    </w:p>
    <w:p>
      <w:pPr>
        <w:pStyle w:val="21"/>
        <w:numPr>
          <w:ilvl w:val="0"/>
          <w:numId w:val="67"/>
        </w:numPr>
        <w:ind w:left="420" w:leftChars="0" w:firstLine="0" w:firstLineChars="0"/>
        <w:rPr>
          <w:rFonts w:hint="eastAsia"/>
          <w:szCs w:val="22"/>
          <w:lang w:val="en-US" w:eastAsia="zh-CN"/>
        </w:rPr>
      </w:pPr>
      <w:r>
        <w:rPr>
          <w:rFonts w:hint="eastAsia"/>
          <w:szCs w:val="22"/>
          <w:lang w:val="en-US" w:eastAsia="zh-CN"/>
        </w:rPr>
        <w:t>工程合同约定的其他服务。</w:t>
      </w:r>
    </w:p>
    <w:p>
      <w:pPr>
        <w:pStyle w:val="21"/>
        <w:rPr>
          <w:rFonts w:hint="eastAsia"/>
          <w:lang w:val="en-US" w:eastAsia="zh-CN"/>
        </w:rPr>
      </w:pPr>
      <w:r>
        <w:rPr>
          <w:rFonts w:hint="eastAsia"/>
          <w:lang w:val="en-US" w:eastAsia="zh-CN"/>
        </w:rPr>
        <w:t>在规定期限内，企业对服务的需求信息应作出响应，并对服务质量进行控制、检查和验收。</w:t>
      </w:r>
    </w:p>
    <w:p>
      <w:pPr>
        <w:pStyle w:val="21"/>
        <w:rPr>
          <w:rFonts w:hint="default"/>
          <w:lang w:val="en-US" w:eastAsia="zh-CN"/>
        </w:rPr>
      </w:pPr>
      <w:r>
        <w:rPr>
          <w:rFonts w:hint="eastAsia"/>
          <w:lang w:val="en-US" w:eastAsia="zh-CN"/>
        </w:rPr>
        <w:t>企业应收集服务的相关信息，分析发包方的满意程度，评价安全与风险综合管理体系持续满足发包方需求的能力。</w:t>
      </w:r>
    </w:p>
    <w:p>
      <w:pPr>
        <w:pStyle w:val="21"/>
        <w:rPr>
          <w:rFonts w:hint="eastAsia"/>
          <w:lang w:val="en-US" w:eastAsia="zh-CN"/>
        </w:rPr>
      </w:pPr>
      <w:r>
        <w:rPr>
          <w:rFonts w:hint="eastAsia"/>
          <w:lang w:val="en-US" w:eastAsia="zh-CN"/>
        </w:rPr>
        <w:t>企业应保留成文信息，作为交付与服务的证据。</w:t>
      </w:r>
    </w:p>
    <w:p>
      <w:pPr>
        <w:pStyle w:val="51"/>
        <w:bidi w:val="0"/>
        <w:ind w:left="0" w:leftChars="0" w:firstLine="0" w:firstLineChars="0"/>
        <w:rPr>
          <w:rFonts w:hint="default"/>
          <w:lang w:val="en-US" w:eastAsia="zh-CN"/>
        </w:rPr>
      </w:pPr>
      <w:bookmarkStart w:id="290" w:name="_Toc29307"/>
      <w:bookmarkStart w:id="291" w:name="_Toc10296"/>
      <w:bookmarkStart w:id="292" w:name="_Toc5538"/>
      <w:r>
        <w:rPr>
          <w:rFonts w:hint="eastAsia"/>
          <w:lang w:val="en-US" w:eastAsia="zh-CN"/>
        </w:rPr>
        <w:t>档案管理</w:t>
      </w:r>
      <w:bookmarkEnd w:id="290"/>
      <w:bookmarkEnd w:id="291"/>
      <w:bookmarkEnd w:id="292"/>
    </w:p>
    <w:p>
      <w:pPr>
        <w:pStyle w:val="21"/>
        <w:numPr>
          <w:ilvl w:val="0"/>
          <w:numId w:val="0"/>
        </w:numPr>
        <w:ind w:firstLine="420" w:firstLineChars="200"/>
        <w:rPr>
          <w:rFonts w:hint="default"/>
          <w:szCs w:val="22"/>
          <w:lang w:val="en-US" w:eastAsia="zh-CN"/>
        </w:rPr>
      </w:pPr>
      <w:r>
        <w:rPr>
          <w:rFonts w:hint="eastAsia"/>
          <w:szCs w:val="22"/>
          <w:lang w:val="en-US" w:eastAsia="zh-CN"/>
        </w:rPr>
        <w:t>企业应建立档案管理制度，指定专人随工程施工工作进展进行档案的管理工作。</w:t>
      </w:r>
    </w:p>
    <w:p>
      <w:pPr>
        <w:pStyle w:val="21"/>
        <w:numPr>
          <w:ilvl w:val="0"/>
          <w:numId w:val="0"/>
        </w:numPr>
        <w:ind w:firstLine="420" w:firstLineChars="200"/>
        <w:rPr>
          <w:rFonts w:hint="eastAsia"/>
          <w:szCs w:val="22"/>
          <w:lang w:val="en-US" w:eastAsia="zh-CN"/>
        </w:rPr>
      </w:pPr>
      <w:r>
        <w:rPr>
          <w:rFonts w:hint="eastAsia"/>
          <w:szCs w:val="22"/>
          <w:lang w:val="en-US" w:eastAsia="zh-CN"/>
        </w:rPr>
        <w:t>企业应建立和保持施工过程中的记录，记录的形成应与工程施工过程同步，包括下列内容：</w:t>
      </w:r>
    </w:p>
    <w:p>
      <w:pPr>
        <w:pStyle w:val="21"/>
        <w:numPr>
          <w:ilvl w:val="0"/>
          <w:numId w:val="68"/>
        </w:numPr>
        <w:ind w:left="420" w:leftChars="0" w:firstLine="0" w:firstLineChars="0"/>
        <w:rPr>
          <w:rFonts w:hint="eastAsia"/>
          <w:szCs w:val="22"/>
          <w:lang w:val="en-US" w:eastAsia="zh-CN"/>
        </w:rPr>
      </w:pPr>
      <w:r>
        <w:rPr>
          <w:rFonts w:hint="eastAsia"/>
          <w:szCs w:val="22"/>
          <w:lang w:val="en-US" w:eastAsia="zh-CN"/>
        </w:rPr>
        <w:t>工程项目质量、环境、安全方针、目标；</w:t>
      </w:r>
    </w:p>
    <w:p>
      <w:pPr>
        <w:pStyle w:val="21"/>
        <w:numPr>
          <w:ilvl w:val="0"/>
          <w:numId w:val="68"/>
        </w:numPr>
        <w:ind w:left="420" w:leftChars="0" w:firstLine="0" w:firstLineChars="0"/>
        <w:rPr>
          <w:rFonts w:hint="eastAsia"/>
          <w:szCs w:val="22"/>
          <w:lang w:val="en-US" w:eastAsia="zh-CN"/>
        </w:rPr>
      </w:pPr>
      <w:r>
        <w:rPr>
          <w:rFonts w:hint="eastAsia"/>
          <w:szCs w:val="22"/>
          <w:lang w:val="en-US" w:eastAsia="zh-CN"/>
        </w:rPr>
        <w:t>工程合同；</w:t>
      </w:r>
    </w:p>
    <w:p>
      <w:pPr>
        <w:pStyle w:val="21"/>
        <w:numPr>
          <w:ilvl w:val="0"/>
          <w:numId w:val="68"/>
        </w:numPr>
        <w:ind w:left="420" w:leftChars="0" w:firstLine="0" w:firstLineChars="0"/>
        <w:rPr>
          <w:rFonts w:hint="eastAsia"/>
          <w:szCs w:val="22"/>
          <w:lang w:val="en-US" w:eastAsia="zh-CN"/>
        </w:rPr>
      </w:pPr>
      <w:r>
        <w:rPr>
          <w:rFonts w:hint="eastAsia"/>
          <w:szCs w:val="22"/>
          <w:lang w:val="en-US" w:eastAsia="zh-CN"/>
        </w:rPr>
        <w:t>质量、环境、安全、施工管理制度及施工方案；</w:t>
      </w:r>
    </w:p>
    <w:p>
      <w:pPr>
        <w:pStyle w:val="21"/>
        <w:numPr>
          <w:ilvl w:val="0"/>
          <w:numId w:val="68"/>
        </w:numPr>
        <w:ind w:left="420" w:leftChars="0" w:firstLine="0" w:firstLineChars="0"/>
        <w:rPr>
          <w:rFonts w:hint="eastAsia"/>
          <w:szCs w:val="22"/>
          <w:lang w:val="en-US" w:eastAsia="zh-CN"/>
        </w:rPr>
      </w:pPr>
      <w:r>
        <w:rPr>
          <w:rFonts w:hint="eastAsia"/>
          <w:szCs w:val="22"/>
          <w:lang w:val="en-US" w:eastAsia="zh-CN"/>
        </w:rPr>
        <w:t>工程开工报审资料；</w:t>
      </w:r>
    </w:p>
    <w:p>
      <w:pPr>
        <w:pStyle w:val="21"/>
        <w:numPr>
          <w:ilvl w:val="0"/>
          <w:numId w:val="68"/>
        </w:numPr>
        <w:ind w:left="420" w:leftChars="0" w:firstLine="0" w:firstLineChars="0"/>
        <w:rPr>
          <w:rFonts w:hint="eastAsia"/>
          <w:szCs w:val="22"/>
          <w:lang w:val="en-US" w:eastAsia="zh-CN"/>
        </w:rPr>
      </w:pPr>
      <w:r>
        <w:rPr>
          <w:rFonts w:hint="eastAsia"/>
          <w:szCs w:val="22"/>
          <w:lang w:val="en-US" w:eastAsia="zh-CN"/>
        </w:rPr>
        <w:t>图纸的接收、发放、会审与设计变更的有关记录；</w:t>
      </w:r>
    </w:p>
    <w:p>
      <w:pPr>
        <w:pStyle w:val="21"/>
        <w:numPr>
          <w:ilvl w:val="0"/>
          <w:numId w:val="68"/>
        </w:numPr>
        <w:ind w:left="420" w:leftChars="0" w:firstLine="0" w:firstLineChars="0"/>
        <w:rPr>
          <w:rFonts w:hint="eastAsia"/>
          <w:szCs w:val="22"/>
          <w:lang w:val="en-US" w:eastAsia="zh-CN"/>
        </w:rPr>
      </w:pPr>
      <w:r>
        <w:rPr>
          <w:rFonts w:hint="eastAsia"/>
          <w:szCs w:val="22"/>
          <w:lang w:val="en-US" w:eastAsia="zh-CN"/>
        </w:rPr>
        <w:t>施工日记；</w:t>
      </w:r>
    </w:p>
    <w:p>
      <w:pPr>
        <w:pStyle w:val="21"/>
        <w:numPr>
          <w:ilvl w:val="0"/>
          <w:numId w:val="68"/>
        </w:numPr>
        <w:ind w:left="420" w:leftChars="0" w:firstLine="0" w:firstLineChars="0"/>
        <w:rPr>
          <w:rFonts w:hint="eastAsia"/>
          <w:szCs w:val="22"/>
          <w:lang w:val="en-US" w:eastAsia="zh-CN"/>
        </w:rPr>
      </w:pPr>
      <w:r>
        <w:rPr>
          <w:rFonts w:hint="eastAsia"/>
          <w:szCs w:val="22"/>
          <w:lang w:val="en-US" w:eastAsia="zh-CN"/>
        </w:rPr>
        <w:t>交底记录；</w:t>
      </w:r>
    </w:p>
    <w:p>
      <w:pPr>
        <w:pStyle w:val="21"/>
        <w:numPr>
          <w:ilvl w:val="0"/>
          <w:numId w:val="68"/>
        </w:numPr>
        <w:ind w:left="420" w:leftChars="0" w:firstLine="0" w:firstLineChars="0"/>
        <w:rPr>
          <w:rFonts w:hint="eastAsia"/>
          <w:szCs w:val="22"/>
          <w:lang w:val="en-US" w:eastAsia="zh-CN"/>
        </w:rPr>
      </w:pPr>
      <w:r>
        <w:rPr>
          <w:rFonts w:hint="eastAsia"/>
          <w:szCs w:val="22"/>
          <w:lang w:val="en-US" w:eastAsia="zh-CN"/>
        </w:rPr>
        <w:t>岗位资格证明；</w:t>
      </w:r>
    </w:p>
    <w:p>
      <w:pPr>
        <w:pStyle w:val="21"/>
        <w:numPr>
          <w:ilvl w:val="0"/>
          <w:numId w:val="68"/>
        </w:numPr>
        <w:ind w:left="420" w:leftChars="0" w:firstLine="0" w:firstLineChars="0"/>
        <w:rPr>
          <w:rFonts w:hint="eastAsia"/>
          <w:szCs w:val="22"/>
          <w:lang w:val="en-US" w:eastAsia="zh-CN"/>
        </w:rPr>
      </w:pPr>
      <w:r>
        <w:rPr>
          <w:rFonts w:hint="eastAsia"/>
          <w:szCs w:val="22"/>
          <w:lang w:val="en-US" w:eastAsia="zh-CN"/>
        </w:rPr>
        <w:t>工程测量、技术复核、分部分项及隐蔽工程验收记录；</w:t>
      </w:r>
    </w:p>
    <w:p>
      <w:pPr>
        <w:pStyle w:val="21"/>
        <w:numPr>
          <w:ilvl w:val="0"/>
          <w:numId w:val="68"/>
        </w:numPr>
        <w:ind w:left="420" w:leftChars="0" w:firstLine="0" w:firstLineChars="0"/>
        <w:rPr>
          <w:rFonts w:hint="eastAsia"/>
          <w:szCs w:val="22"/>
          <w:lang w:val="en-US" w:eastAsia="zh-CN"/>
        </w:rPr>
      </w:pPr>
      <w:r>
        <w:rPr>
          <w:rFonts w:hint="eastAsia"/>
          <w:szCs w:val="22"/>
          <w:lang w:val="en-US" w:eastAsia="zh-CN"/>
        </w:rPr>
        <w:t>工程材料、构配件和设备的检查验收记录；</w:t>
      </w:r>
    </w:p>
    <w:p>
      <w:pPr>
        <w:pStyle w:val="21"/>
        <w:numPr>
          <w:ilvl w:val="0"/>
          <w:numId w:val="68"/>
        </w:numPr>
        <w:ind w:left="420" w:leftChars="0" w:firstLine="0" w:firstLineChars="0"/>
        <w:rPr>
          <w:rFonts w:hint="eastAsia"/>
          <w:szCs w:val="22"/>
          <w:lang w:val="en-US" w:eastAsia="zh-CN"/>
        </w:rPr>
      </w:pPr>
      <w:r>
        <w:rPr>
          <w:rFonts w:hint="eastAsia"/>
          <w:szCs w:val="22"/>
          <w:lang w:val="en-US" w:eastAsia="zh-CN"/>
        </w:rPr>
        <w:t>施工机具、设施、检测设备的验收及管理记录；</w:t>
      </w:r>
    </w:p>
    <w:p>
      <w:pPr>
        <w:pStyle w:val="21"/>
        <w:numPr>
          <w:ilvl w:val="0"/>
          <w:numId w:val="68"/>
        </w:numPr>
        <w:ind w:left="420" w:leftChars="0" w:firstLine="0" w:firstLineChars="0"/>
        <w:rPr>
          <w:rFonts w:hint="eastAsia"/>
          <w:szCs w:val="22"/>
          <w:lang w:val="en-US" w:eastAsia="zh-CN"/>
        </w:rPr>
      </w:pPr>
      <w:r>
        <w:rPr>
          <w:rFonts w:hint="eastAsia"/>
          <w:szCs w:val="22"/>
          <w:lang w:val="en-US" w:eastAsia="zh-CN"/>
        </w:rPr>
        <w:t>施工过程检测、检查与验收记录；</w:t>
      </w:r>
    </w:p>
    <w:p>
      <w:pPr>
        <w:pStyle w:val="21"/>
        <w:numPr>
          <w:ilvl w:val="0"/>
          <w:numId w:val="68"/>
        </w:numPr>
        <w:ind w:left="420" w:leftChars="0" w:firstLine="0" w:firstLineChars="0"/>
        <w:rPr>
          <w:rFonts w:hint="eastAsia"/>
          <w:szCs w:val="22"/>
          <w:lang w:val="en-US" w:eastAsia="zh-CN"/>
        </w:rPr>
      </w:pPr>
      <w:r>
        <w:rPr>
          <w:rFonts w:hint="eastAsia"/>
          <w:szCs w:val="22"/>
          <w:lang w:val="en-US" w:eastAsia="zh-CN"/>
        </w:rPr>
        <w:t>质量、安全问题的整改、复查记录；</w:t>
      </w:r>
    </w:p>
    <w:p>
      <w:pPr>
        <w:pStyle w:val="21"/>
        <w:numPr>
          <w:ilvl w:val="0"/>
          <w:numId w:val="68"/>
        </w:numPr>
        <w:ind w:left="420" w:leftChars="0" w:firstLine="0" w:firstLineChars="0"/>
        <w:rPr>
          <w:rFonts w:hint="eastAsia"/>
          <w:szCs w:val="22"/>
          <w:lang w:val="en-US" w:eastAsia="zh-CN"/>
        </w:rPr>
      </w:pPr>
      <w:r>
        <w:rPr>
          <w:rFonts w:hint="eastAsia"/>
          <w:szCs w:val="22"/>
          <w:lang w:val="en-US" w:eastAsia="zh-CN"/>
        </w:rPr>
        <w:t>工程会议、函件、通知等相关记录；</w:t>
      </w:r>
    </w:p>
    <w:p>
      <w:pPr>
        <w:pStyle w:val="21"/>
        <w:numPr>
          <w:ilvl w:val="0"/>
          <w:numId w:val="68"/>
        </w:numPr>
        <w:ind w:left="420" w:leftChars="0" w:firstLine="0" w:firstLineChars="0"/>
        <w:rPr>
          <w:rFonts w:hint="eastAsia"/>
          <w:szCs w:val="22"/>
          <w:lang w:val="en-US" w:eastAsia="zh-CN"/>
        </w:rPr>
      </w:pPr>
      <w:r>
        <w:rPr>
          <w:rFonts w:hint="eastAsia"/>
          <w:szCs w:val="22"/>
          <w:lang w:val="en-US" w:eastAsia="zh-CN"/>
        </w:rPr>
        <w:t>项目管理策划结果规定的其他记录。</w:t>
      </w:r>
    </w:p>
    <w:p>
      <w:pPr>
        <w:pStyle w:val="94"/>
        <w:rPr>
          <w:rFonts w:hint="default"/>
          <w:szCs w:val="22"/>
          <w:lang w:val="en-US" w:eastAsia="zh-CN"/>
        </w:rPr>
      </w:pPr>
      <w:bookmarkStart w:id="293" w:name="_Toc26652"/>
      <w:bookmarkStart w:id="294" w:name="_Toc18135"/>
      <w:r>
        <w:rPr>
          <w:rFonts w:hint="default"/>
          <w:szCs w:val="22"/>
          <w:lang w:val="en-US" w:eastAsia="zh-CN"/>
        </w:rPr>
        <w:t>应急管理</w:t>
      </w:r>
      <w:bookmarkEnd w:id="179"/>
      <w:bookmarkEnd w:id="293"/>
      <w:bookmarkEnd w:id="294"/>
    </w:p>
    <w:p>
      <w:pPr>
        <w:pStyle w:val="51"/>
      </w:pPr>
      <w:bookmarkStart w:id="295" w:name="_Toc19485"/>
      <w:bookmarkStart w:id="296" w:name="_Toc22584"/>
      <w:bookmarkStart w:id="297" w:name="_Toc25686"/>
      <w:bookmarkStart w:id="298" w:name="_Toc23"/>
      <w:r>
        <w:t>应急准备</w:t>
      </w:r>
      <w:bookmarkEnd w:id="295"/>
      <w:bookmarkEnd w:id="296"/>
      <w:bookmarkEnd w:id="297"/>
    </w:p>
    <w:p>
      <w:pPr>
        <w:pStyle w:val="21"/>
      </w:pPr>
      <w:r>
        <w:rPr>
          <w:rFonts w:hint="eastAsia"/>
        </w:rPr>
        <w:t>企业应建立、实施并保持识别的潜在紧急情况进行应急准备并做出响应所需的过程。</w:t>
      </w:r>
    </w:p>
    <w:p>
      <w:pPr>
        <w:pStyle w:val="21"/>
        <w:rPr>
          <w:rFonts w:hint="eastAsia"/>
          <w:lang w:eastAsia="zh-CN"/>
        </w:rPr>
      </w:pPr>
      <w:r>
        <w:rPr>
          <w:rFonts w:hint="eastAsia"/>
        </w:rPr>
        <w:t>企业应通过策划的措施做好响应紧急情况的准备，以预防或减轻其所带来的不利环境、安全影响</w:t>
      </w:r>
      <w:r>
        <w:rPr>
          <w:rFonts w:hint="eastAsia"/>
          <w:lang w:eastAsia="zh-CN"/>
        </w:rPr>
        <w:t>。</w:t>
      </w:r>
    </w:p>
    <w:p>
      <w:pPr>
        <w:pStyle w:val="21"/>
      </w:pPr>
      <w:r>
        <w:rPr>
          <w:rFonts w:hint="eastAsia"/>
          <w:lang w:val="en-US" w:eastAsia="zh-CN"/>
        </w:rPr>
        <w:t>策划的措施包括但不限于以下</w:t>
      </w:r>
      <w:r>
        <w:rPr>
          <w:rFonts w:hint="eastAsia"/>
        </w:rPr>
        <w:t>：</w:t>
      </w:r>
    </w:p>
    <w:p>
      <w:pPr>
        <w:pStyle w:val="21"/>
        <w:numPr>
          <w:ilvl w:val="0"/>
          <w:numId w:val="69"/>
        </w:numPr>
        <w:ind w:left="420" w:firstLine="0" w:firstLineChars="0"/>
        <w:rPr>
          <w:szCs w:val="22"/>
        </w:rPr>
      </w:pPr>
      <w:r>
        <w:rPr>
          <w:rFonts w:hint="eastAsia"/>
          <w:szCs w:val="22"/>
        </w:rPr>
        <w:t>根据</w:t>
      </w:r>
      <w:r>
        <w:rPr>
          <w:rFonts w:hint="eastAsia"/>
          <w:szCs w:val="22"/>
          <w:lang w:val="en-US" w:eastAsia="zh-CN"/>
        </w:rPr>
        <w:t>面临的</w:t>
      </w:r>
      <w:r>
        <w:rPr>
          <w:rFonts w:hint="eastAsia"/>
          <w:szCs w:val="22"/>
        </w:rPr>
        <w:t>风险状况，识别突发事件，认定潜在的紧急情况</w:t>
      </w:r>
      <w:r>
        <w:rPr>
          <w:rFonts w:hint="eastAsia"/>
          <w:szCs w:val="22"/>
          <w:lang w:eastAsia="zh-CN"/>
        </w:rPr>
        <w:t>；</w:t>
      </w:r>
    </w:p>
    <w:p>
      <w:pPr>
        <w:pStyle w:val="21"/>
        <w:numPr>
          <w:ilvl w:val="0"/>
          <w:numId w:val="69"/>
        </w:numPr>
        <w:ind w:left="420" w:firstLine="0" w:firstLineChars="0"/>
        <w:rPr>
          <w:szCs w:val="22"/>
        </w:rPr>
      </w:pPr>
      <w:r>
        <w:rPr>
          <w:rFonts w:hint="eastAsia"/>
          <w:szCs w:val="22"/>
        </w:rPr>
        <w:t>建立应急救援系统，设立应急组织机构，组建应急队伍，配置胜任的人员，明确机构及人员职责</w:t>
      </w:r>
      <w:r>
        <w:rPr>
          <w:rFonts w:hint="eastAsia"/>
          <w:szCs w:val="22"/>
          <w:lang w:eastAsia="zh-CN"/>
        </w:rPr>
        <w:t>；</w:t>
      </w:r>
    </w:p>
    <w:p>
      <w:pPr>
        <w:pStyle w:val="21"/>
        <w:numPr>
          <w:ilvl w:val="0"/>
          <w:numId w:val="69"/>
        </w:numPr>
        <w:ind w:left="420" w:firstLine="0" w:firstLineChars="0"/>
        <w:rPr>
          <w:szCs w:val="22"/>
        </w:rPr>
      </w:pPr>
      <w:r>
        <w:rPr>
          <w:rFonts w:hint="eastAsia"/>
          <w:szCs w:val="22"/>
        </w:rPr>
        <w:t>可行时，认定紧急情况下可提供援助的外部机构名单及有效的联系方式</w:t>
      </w:r>
      <w:r>
        <w:rPr>
          <w:rFonts w:hint="eastAsia"/>
          <w:szCs w:val="22"/>
          <w:lang w:eastAsia="zh-CN"/>
        </w:rPr>
        <w:t>；</w:t>
      </w:r>
    </w:p>
    <w:p>
      <w:pPr>
        <w:pStyle w:val="21"/>
        <w:numPr>
          <w:ilvl w:val="0"/>
          <w:numId w:val="69"/>
        </w:numPr>
        <w:ind w:left="420" w:firstLine="0" w:firstLineChars="0"/>
        <w:rPr>
          <w:szCs w:val="22"/>
          <w:highlight w:val="none"/>
        </w:rPr>
      </w:pPr>
      <w:r>
        <w:rPr>
          <w:rFonts w:hint="eastAsia"/>
          <w:szCs w:val="22"/>
          <w:highlight w:val="none"/>
        </w:rPr>
        <w:t>建立应急预案体系，编写应急预案、专项应急预案及现场处置方案，并组织评审、正式发布及报备</w:t>
      </w:r>
      <w:r>
        <w:rPr>
          <w:rFonts w:hint="eastAsia"/>
          <w:szCs w:val="22"/>
          <w:highlight w:val="none"/>
          <w:lang w:eastAsia="zh-CN"/>
        </w:rPr>
        <w:t>；</w:t>
      </w:r>
    </w:p>
    <w:p>
      <w:pPr>
        <w:pStyle w:val="21"/>
        <w:numPr>
          <w:ilvl w:val="0"/>
          <w:numId w:val="69"/>
        </w:numPr>
        <w:ind w:left="420" w:firstLine="0" w:firstLineChars="0"/>
        <w:rPr>
          <w:szCs w:val="22"/>
          <w:highlight w:val="none"/>
        </w:rPr>
      </w:pPr>
      <w:r>
        <w:rPr>
          <w:rFonts w:hint="eastAsia"/>
          <w:szCs w:val="22"/>
          <w:highlight w:val="none"/>
        </w:rPr>
        <w:t>建立应急物资保障机制，定期检查、盘点，确保应急物资处于齐全、充足</w:t>
      </w:r>
      <w:r>
        <w:rPr>
          <w:rFonts w:hint="eastAsia"/>
          <w:szCs w:val="22"/>
          <w:highlight w:val="none"/>
          <w:lang w:val="en-US" w:eastAsia="zh-CN"/>
        </w:rPr>
        <w:t>和</w:t>
      </w:r>
      <w:r>
        <w:rPr>
          <w:rFonts w:hint="eastAsia"/>
          <w:szCs w:val="22"/>
          <w:highlight w:val="none"/>
        </w:rPr>
        <w:t>完好状态</w:t>
      </w:r>
      <w:r>
        <w:rPr>
          <w:rFonts w:hint="eastAsia"/>
          <w:szCs w:val="22"/>
          <w:highlight w:val="none"/>
          <w:lang w:eastAsia="zh-CN"/>
        </w:rPr>
        <w:t>；</w:t>
      </w:r>
    </w:p>
    <w:p>
      <w:pPr>
        <w:pStyle w:val="21"/>
        <w:numPr>
          <w:ilvl w:val="0"/>
          <w:numId w:val="69"/>
        </w:numPr>
        <w:ind w:left="420" w:firstLine="0" w:firstLineChars="0"/>
        <w:rPr>
          <w:szCs w:val="22"/>
          <w:highlight w:val="none"/>
        </w:rPr>
      </w:pPr>
      <w:r>
        <w:rPr>
          <w:rFonts w:hint="eastAsia"/>
          <w:szCs w:val="22"/>
          <w:highlight w:val="none"/>
        </w:rPr>
        <w:t>建立应急预警与响应机制，明确启动条件，分层级启动应急预案</w:t>
      </w:r>
      <w:r>
        <w:rPr>
          <w:rFonts w:hint="eastAsia"/>
          <w:szCs w:val="22"/>
          <w:highlight w:val="none"/>
          <w:lang w:eastAsia="zh-CN"/>
        </w:rPr>
        <w:t>；</w:t>
      </w:r>
    </w:p>
    <w:p>
      <w:pPr>
        <w:pStyle w:val="21"/>
        <w:numPr>
          <w:ilvl w:val="0"/>
          <w:numId w:val="69"/>
        </w:numPr>
        <w:ind w:left="420" w:firstLine="0" w:firstLineChars="0"/>
        <w:rPr>
          <w:szCs w:val="22"/>
          <w:highlight w:val="none"/>
        </w:rPr>
      </w:pPr>
      <w:r>
        <w:rPr>
          <w:rFonts w:hint="eastAsia"/>
          <w:szCs w:val="22"/>
          <w:highlight w:val="none"/>
        </w:rPr>
        <w:t>建立应急联动机制，获取应急信息和资源，必要时联动处置突发事件</w:t>
      </w:r>
      <w:r>
        <w:rPr>
          <w:rFonts w:hint="eastAsia"/>
          <w:szCs w:val="22"/>
          <w:highlight w:val="none"/>
          <w:lang w:eastAsia="zh-CN"/>
        </w:rPr>
        <w:t>；</w:t>
      </w:r>
    </w:p>
    <w:p>
      <w:pPr>
        <w:pStyle w:val="21"/>
        <w:numPr>
          <w:ilvl w:val="0"/>
          <w:numId w:val="69"/>
        </w:numPr>
        <w:ind w:left="420" w:firstLine="0" w:firstLineChars="0"/>
        <w:rPr>
          <w:szCs w:val="22"/>
          <w:highlight w:val="none"/>
        </w:rPr>
      </w:pPr>
      <w:r>
        <w:rPr>
          <w:rFonts w:hint="eastAsia"/>
          <w:szCs w:val="22"/>
          <w:highlight w:val="none"/>
        </w:rPr>
        <w:t>定期对员工开展应急培训与演练，使其掌握应急预案的内容、程序与响应要求；并通过演练，检验和完善预案，确保应急预案的有效性。</w:t>
      </w:r>
    </w:p>
    <w:p>
      <w:pPr>
        <w:pStyle w:val="21"/>
        <w:rPr>
          <w:rFonts w:hint="eastAsia"/>
        </w:rPr>
      </w:pPr>
      <w:r>
        <w:rPr>
          <w:rFonts w:hint="eastAsia"/>
        </w:rPr>
        <w:t>企业应保持必要程度的成文信息，以确</w:t>
      </w:r>
      <w:r>
        <w:rPr>
          <w:rFonts w:hint="eastAsia"/>
          <w:lang w:val="en-US" w:eastAsia="zh-CN"/>
        </w:rPr>
        <w:t>认</w:t>
      </w:r>
      <w:r>
        <w:rPr>
          <w:rFonts w:hint="eastAsia"/>
        </w:rPr>
        <w:t>过程准备充分，并得到实施。</w:t>
      </w:r>
    </w:p>
    <w:p>
      <w:pPr>
        <w:pStyle w:val="51"/>
      </w:pPr>
      <w:bookmarkStart w:id="299" w:name="_Toc13883"/>
      <w:bookmarkStart w:id="300" w:name="_Toc26800"/>
      <w:bookmarkStart w:id="301" w:name="_Toc15648"/>
      <w:r>
        <w:t>应急响应</w:t>
      </w:r>
      <w:bookmarkEnd w:id="299"/>
      <w:bookmarkEnd w:id="300"/>
      <w:bookmarkEnd w:id="301"/>
    </w:p>
    <w:p>
      <w:pPr>
        <w:pStyle w:val="21"/>
        <w:rPr>
          <w:rFonts w:hint="eastAsia"/>
          <w:lang w:eastAsia="zh-CN"/>
        </w:rPr>
      </w:pPr>
      <w:r>
        <w:rPr>
          <w:rFonts w:hint="eastAsia"/>
        </w:rPr>
        <w:t>企业应根据紧急情况和潜在环境、安全的影响程度，采取相适应的措施以预防或减轻紧急情况带来的后果</w:t>
      </w:r>
      <w:r>
        <w:rPr>
          <w:rFonts w:hint="eastAsia"/>
          <w:lang w:eastAsia="zh-CN"/>
        </w:rPr>
        <w:t>。</w:t>
      </w:r>
    </w:p>
    <w:p>
      <w:pPr>
        <w:pStyle w:val="21"/>
      </w:pPr>
      <w:r>
        <w:rPr>
          <w:rFonts w:hint="eastAsia"/>
          <w:lang w:val="en-US" w:eastAsia="zh-CN"/>
        </w:rPr>
        <w:t>措施包括但不限于以下</w:t>
      </w:r>
      <w:r>
        <w:rPr>
          <w:rFonts w:hint="eastAsia"/>
        </w:rPr>
        <w:t>：</w:t>
      </w:r>
    </w:p>
    <w:p>
      <w:pPr>
        <w:pStyle w:val="21"/>
        <w:numPr>
          <w:ilvl w:val="0"/>
          <w:numId w:val="70"/>
        </w:numPr>
        <w:ind w:left="420" w:firstLine="0" w:firstLineChars="0"/>
        <w:rPr>
          <w:szCs w:val="22"/>
          <w:highlight w:val="none"/>
        </w:rPr>
      </w:pPr>
      <w:r>
        <w:rPr>
          <w:rFonts w:hint="eastAsia"/>
          <w:szCs w:val="22"/>
          <w:highlight w:val="none"/>
        </w:rPr>
        <w:t>信息报送</w:t>
      </w:r>
      <w:r>
        <w:rPr>
          <w:rFonts w:hint="eastAsia"/>
          <w:szCs w:val="22"/>
          <w:highlight w:val="none"/>
          <w:lang w:eastAsia="zh-CN"/>
        </w:rPr>
        <w:t>：</w:t>
      </w:r>
      <w:r>
        <w:rPr>
          <w:rFonts w:hint="eastAsia"/>
          <w:szCs w:val="22"/>
          <w:highlight w:val="none"/>
        </w:rPr>
        <w:t>各级人员应按规定时间、程序、方式和内容向上级及政府报送信息，并以适当的方式及时向媒体、公众和重要用户发布</w:t>
      </w:r>
      <w:r>
        <w:rPr>
          <w:rFonts w:hint="eastAsia"/>
          <w:szCs w:val="22"/>
          <w:highlight w:val="none"/>
          <w:lang w:val="en-US" w:eastAsia="zh-CN"/>
        </w:rPr>
        <w:t>紧急情况</w:t>
      </w:r>
      <w:r>
        <w:rPr>
          <w:rFonts w:hint="eastAsia"/>
          <w:szCs w:val="22"/>
          <w:highlight w:val="none"/>
        </w:rPr>
        <w:t>影响等相关信息</w:t>
      </w:r>
      <w:r>
        <w:rPr>
          <w:rFonts w:hint="eastAsia"/>
          <w:szCs w:val="22"/>
          <w:highlight w:val="none"/>
          <w:lang w:eastAsia="zh-CN"/>
        </w:rPr>
        <w:t>；</w:t>
      </w:r>
    </w:p>
    <w:p>
      <w:pPr>
        <w:pStyle w:val="21"/>
        <w:numPr>
          <w:ilvl w:val="0"/>
          <w:numId w:val="70"/>
        </w:numPr>
        <w:ind w:left="420" w:firstLine="0" w:firstLineChars="0"/>
        <w:rPr>
          <w:szCs w:val="22"/>
          <w:highlight w:val="none"/>
        </w:rPr>
      </w:pPr>
      <w:r>
        <w:rPr>
          <w:rFonts w:hint="eastAsia"/>
          <w:szCs w:val="22"/>
          <w:highlight w:val="none"/>
        </w:rPr>
        <w:t>应急启动</w:t>
      </w:r>
      <w:r>
        <w:rPr>
          <w:rFonts w:hint="eastAsia"/>
          <w:szCs w:val="22"/>
          <w:highlight w:val="none"/>
          <w:lang w:eastAsia="zh-CN"/>
        </w:rPr>
        <w:t>：</w:t>
      </w:r>
      <w:r>
        <w:rPr>
          <w:rFonts w:hint="eastAsia"/>
          <w:szCs w:val="22"/>
          <w:highlight w:val="none"/>
        </w:rPr>
        <w:t>应急响应小组应按应急预案的要求履行职责</w:t>
      </w:r>
      <w:r>
        <w:rPr>
          <w:rFonts w:hint="eastAsia"/>
          <w:szCs w:val="22"/>
          <w:highlight w:val="none"/>
          <w:lang w:eastAsia="zh-CN"/>
        </w:rPr>
        <w:t>，</w:t>
      </w:r>
      <w:r>
        <w:rPr>
          <w:rFonts w:hint="eastAsia"/>
          <w:szCs w:val="22"/>
          <w:highlight w:val="none"/>
        </w:rPr>
        <w:t>及时、有效地进行处置，控制事态</w:t>
      </w:r>
      <w:r>
        <w:rPr>
          <w:rFonts w:hint="eastAsia"/>
          <w:szCs w:val="22"/>
          <w:highlight w:val="none"/>
          <w:lang w:eastAsia="zh-CN"/>
        </w:rPr>
        <w:t>；</w:t>
      </w:r>
    </w:p>
    <w:p>
      <w:pPr>
        <w:pStyle w:val="21"/>
        <w:numPr>
          <w:ilvl w:val="0"/>
          <w:numId w:val="70"/>
        </w:numPr>
        <w:ind w:left="420" w:firstLine="0" w:firstLineChars="0"/>
        <w:rPr>
          <w:szCs w:val="22"/>
          <w:highlight w:val="none"/>
        </w:rPr>
      </w:pPr>
      <w:r>
        <w:rPr>
          <w:rFonts w:hint="eastAsia"/>
          <w:szCs w:val="22"/>
          <w:highlight w:val="none"/>
        </w:rPr>
        <w:t>应急处置</w:t>
      </w:r>
      <w:r>
        <w:rPr>
          <w:rFonts w:hint="eastAsia"/>
          <w:szCs w:val="22"/>
          <w:highlight w:val="none"/>
          <w:lang w:eastAsia="zh-CN"/>
        </w:rPr>
        <w:t>：</w:t>
      </w:r>
      <w:r>
        <w:rPr>
          <w:rFonts w:hint="eastAsia"/>
          <w:szCs w:val="22"/>
          <w:highlight w:val="none"/>
        </w:rPr>
        <w:t>应急响应小组应根据现场情况立即制定应急处置措施</w:t>
      </w:r>
      <w:r>
        <w:rPr>
          <w:rFonts w:hint="eastAsia"/>
          <w:szCs w:val="22"/>
          <w:highlight w:val="none"/>
          <w:lang w:eastAsia="zh-CN"/>
        </w:rPr>
        <w:t>；</w:t>
      </w:r>
    </w:p>
    <w:p>
      <w:pPr>
        <w:pStyle w:val="21"/>
        <w:numPr>
          <w:ilvl w:val="0"/>
          <w:numId w:val="70"/>
        </w:numPr>
        <w:ind w:left="420" w:firstLine="0" w:firstLineChars="0"/>
        <w:rPr>
          <w:szCs w:val="22"/>
          <w:highlight w:val="none"/>
        </w:rPr>
      </w:pPr>
      <w:r>
        <w:rPr>
          <w:rFonts w:hint="eastAsia"/>
          <w:szCs w:val="22"/>
          <w:highlight w:val="none"/>
        </w:rPr>
        <w:t>响应结束</w:t>
      </w:r>
      <w:r>
        <w:rPr>
          <w:rFonts w:hint="eastAsia"/>
          <w:szCs w:val="22"/>
          <w:highlight w:val="none"/>
          <w:lang w:eastAsia="zh-CN"/>
        </w:rPr>
        <w:t>：</w:t>
      </w:r>
      <w:r>
        <w:rPr>
          <w:rFonts w:hint="eastAsia"/>
          <w:szCs w:val="22"/>
          <w:highlight w:val="none"/>
        </w:rPr>
        <w:t>应做好突发事件后果的影响消除、施工秩序恢复、污染物处理、善后理赔、应急能力评估、对应急预案的评价和改进等后期处置工作。</w:t>
      </w:r>
    </w:p>
    <w:p>
      <w:pPr>
        <w:pStyle w:val="21"/>
      </w:pPr>
      <w:r>
        <w:rPr>
          <w:rFonts w:hint="eastAsia"/>
        </w:rPr>
        <w:t>企业应保持必要程度的成文信息，以作为应急响应的证据。</w:t>
      </w:r>
    </w:p>
    <w:p>
      <w:pPr>
        <w:pStyle w:val="51"/>
      </w:pPr>
      <w:bookmarkStart w:id="302" w:name="_Toc10829"/>
      <w:bookmarkStart w:id="303" w:name="_Toc13822"/>
      <w:bookmarkStart w:id="304" w:name="_Toc31788"/>
      <w:r>
        <w:t>处置评估</w:t>
      </w:r>
      <w:bookmarkEnd w:id="302"/>
      <w:bookmarkEnd w:id="303"/>
      <w:bookmarkEnd w:id="304"/>
    </w:p>
    <w:p>
      <w:pPr>
        <w:pStyle w:val="21"/>
      </w:pPr>
      <w:r>
        <w:rPr>
          <w:rFonts w:hint="eastAsia"/>
        </w:rPr>
        <w:t>企业应对应急管理的准备与响应全过程开展评估，查找、分析问题和薄弱环节，制定整改措施和计划，建立持续改进提升机制。</w:t>
      </w:r>
    </w:p>
    <w:p>
      <w:pPr>
        <w:pStyle w:val="21"/>
      </w:pPr>
      <w:r>
        <w:rPr>
          <w:rFonts w:hint="eastAsia"/>
        </w:rPr>
        <w:t>处置评估包括但不限于以下：</w:t>
      </w:r>
    </w:p>
    <w:p>
      <w:pPr>
        <w:pStyle w:val="21"/>
        <w:numPr>
          <w:ilvl w:val="0"/>
          <w:numId w:val="71"/>
        </w:numPr>
        <w:ind w:left="420" w:firstLine="0" w:firstLineChars="0"/>
        <w:rPr>
          <w:szCs w:val="22"/>
        </w:rPr>
      </w:pPr>
      <w:r>
        <w:rPr>
          <w:rFonts w:hint="eastAsia"/>
          <w:szCs w:val="22"/>
        </w:rPr>
        <w:t>事前准备阶段：预警监测、预警发布、预警行动、预警调整、预警解除；</w:t>
      </w:r>
    </w:p>
    <w:p>
      <w:pPr>
        <w:pStyle w:val="21"/>
        <w:numPr>
          <w:ilvl w:val="0"/>
          <w:numId w:val="71"/>
        </w:numPr>
        <w:ind w:left="420" w:firstLine="0" w:firstLineChars="0"/>
        <w:rPr>
          <w:szCs w:val="22"/>
        </w:rPr>
      </w:pPr>
      <w:r>
        <w:rPr>
          <w:rFonts w:hint="eastAsia"/>
          <w:szCs w:val="22"/>
        </w:rPr>
        <w:t>事中处置阶段：先期处置、响应发布、响应调整、响应结束、应急组织、信息报送、响应阶段保障、应急联动、专业处置；</w:t>
      </w:r>
    </w:p>
    <w:p>
      <w:pPr>
        <w:pStyle w:val="21"/>
        <w:numPr>
          <w:ilvl w:val="0"/>
          <w:numId w:val="71"/>
        </w:numPr>
        <w:ind w:left="420" w:firstLine="0" w:firstLineChars="0"/>
        <w:rPr>
          <w:szCs w:val="22"/>
        </w:rPr>
      </w:pPr>
      <w:r>
        <w:rPr>
          <w:rFonts w:hint="eastAsia"/>
          <w:szCs w:val="22"/>
        </w:rPr>
        <w:t>事后恢复阶段：风险防控、恢复生产、总结工作开展情况、评估整改制定情况。</w:t>
      </w:r>
    </w:p>
    <w:p>
      <w:pPr>
        <w:pStyle w:val="21"/>
      </w:pPr>
      <w:r>
        <w:rPr>
          <w:rFonts w:hint="eastAsia"/>
        </w:rPr>
        <w:t>企业应保持必要程度的成文信息，以作为处置评估的证据。</w:t>
      </w:r>
    </w:p>
    <w:p>
      <w:pPr>
        <w:pStyle w:val="94"/>
        <w:rPr>
          <w:rFonts w:hint="default"/>
          <w:szCs w:val="22"/>
          <w:lang w:val="en-US" w:eastAsia="zh-CN"/>
        </w:rPr>
      </w:pPr>
      <w:bookmarkStart w:id="305" w:name="_Toc2410"/>
      <w:bookmarkStart w:id="306" w:name="_Toc2538"/>
      <w:r>
        <w:rPr>
          <w:rFonts w:hint="default"/>
          <w:szCs w:val="22"/>
          <w:lang w:val="en-US" w:eastAsia="zh-CN"/>
        </w:rPr>
        <w:t>绩效评价</w:t>
      </w:r>
      <w:bookmarkEnd w:id="298"/>
      <w:bookmarkEnd w:id="305"/>
      <w:bookmarkEnd w:id="306"/>
    </w:p>
    <w:p>
      <w:pPr>
        <w:pStyle w:val="51"/>
        <w:bidi w:val="0"/>
        <w:ind w:left="0" w:leftChars="0" w:firstLine="0" w:firstLineChars="0"/>
        <w:rPr>
          <w:rFonts w:hint="default"/>
          <w:lang w:val="en-US" w:eastAsia="zh-CN"/>
        </w:rPr>
      </w:pPr>
      <w:bookmarkStart w:id="307" w:name="_Toc3174"/>
      <w:bookmarkStart w:id="308" w:name="_Toc16556"/>
      <w:bookmarkStart w:id="309" w:name="_Toc16738"/>
      <w:r>
        <w:rPr>
          <w:rFonts w:hint="default"/>
          <w:lang w:val="en-US" w:eastAsia="zh-CN"/>
        </w:rPr>
        <w:t>安全检查</w:t>
      </w:r>
      <w:bookmarkEnd w:id="307"/>
      <w:bookmarkEnd w:id="308"/>
      <w:bookmarkEnd w:id="309"/>
    </w:p>
    <w:p>
      <w:pPr>
        <w:pStyle w:val="21"/>
        <w:rPr>
          <w:rFonts w:hint="eastAsia"/>
          <w:lang w:val="en-US" w:eastAsia="zh-CN"/>
        </w:rPr>
      </w:pPr>
      <w:r>
        <w:rPr>
          <w:rFonts w:hint="eastAsia"/>
          <w:lang w:val="en-US" w:eastAsia="zh-CN"/>
        </w:rPr>
        <w:t>企业应按照计划的时间间隔进行检查以评价其安全绩效。</w:t>
      </w:r>
    </w:p>
    <w:p>
      <w:pPr>
        <w:pStyle w:val="21"/>
        <w:rPr>
          <w:rFonts w:hint="eastAsia"/>
          <w:lang w:val="en-US" w:eastAsia="zh-CN"/>
        </w:rPr>
      </w:pPr>
      <w:r>
        <w:rPr>
          <w:rFonts w:hint="eastAsia"/>
          <w:lang w:val="en-US" w:eastAsia="zh-CN"/>
        </w:rPr>
        <w:t>企业应确定：</w:t>
      </w:r>
    </w:p>
    <w:p>
      <w:pPr>
        <w:pStyle w:val="21"/>
        <w:numPr>
          <w:ilvl w:val="0"/>
          <w:numId w:val="72"/>
        </w:numPr>
        <w:ind w:left="420" w:leftChars="0" w:firstLine="0" w:firstLineChars="0"/>
        <w:rPr>
          <w:rFonts w:hint="eastAsia"/>
          <w:szCs w:val="22"/>
          <w:lang w:val="en-US" w:eastAsia="zh-CN"/>
        </w:rPr>
      </w:pPr>
      <w:r>
        <w:rPr>
          <w:rFonts w:hint="eastAsia"/>
          <w:szCs w:val="22"/>
          <w:lang w:val="en-US" w:eastAsia="zh-CN"/>
        </w:rPr>
        <w:t>需要检查的内容；</w:t>
      </w:r>
    </w:p>
    <w:p>
      <w:pPr>
        <w:pStyle w:val="21"/>
        <w:numPr>
          <w:ilvl w:val="0"/>
          <w:numId w:val="72"/>
        </w:numPr>
        <w:ind w:left="420" w:leftChars="0" w:firstLine="0" w:firstLineChars="0"/>
        <w:rPr>
          <w:rFonts w:hint="eastAsia"/>
          <w:szCs w:val="22"/>
          <w:lang w:val="en-US" w:eastAsia="zh-CN"/>
        </w:rPr>
      </w:pPr>
      <w:r>
        <w:rPr>
          <w:rFonts w:hint="eastAsia"/>
          <w:szCs w:val="22"/>
          <w:lang w:val="en-US" w:eastAsia="zh-CN"/>
        </w:rPr>
        <w:t>适用时的检查方法，以确保有效的结果；</w:t>
      </w:r>
    </w:p>
    <w:p>
      <w:pPr>
        <w:pStyle w:val="21"/>
        <w:numPr>
          <w:ilvl w:val="0"/>
          <w:numId w:val="72"/>
        </w:numPr>
        <w:ind w:left="420" w:leftChars="0" w:firstLine="0" w:firstLineChars="0"/>
        <w:rPr>
          <w:rFonts w:hint="eastAsia"/>
          <w:szCs w:val="22"/>
          <w:lang w:val="en-US" w:eastAsia="zh-CN"/>
        </w:rPr>
      </w:pPr>
      <w:r>
        <w:rPr>
          <w:rFonts w:hint="eastAsia"/>
          <w:szCs w:val="22"/>
          <w:lang w:val="en-US" w:eastAsia="zh-CN"/>
        </w:rPr>
        <w:t>评价安全绩效所依据的制度和适当的参数；</w:t>
      </w:r>
    </w:p>
    <w:p>
      <w:pPr>
        <w:pStyle w:val="21"/>
        <w:numPr>
          <w:ilvl w:val="0"/>
          <w:numId w:val="72"/>
        </w:numPr>
        <w:ind w:left="420" w:leftChars="0" w:firstLine="0" w:firstLineChars="0"/>
        <w:rPr>
          <w:rFonts w:hint="eastAsia"/>
          <w:szCs w:val="22"/>
          <w:lang w:val="en-US" w:eastAsia="zh-CN"/>
        </w:rPr>
      </w:pPr>
      <w:r>
        <w:rPr>
          <w:rFonts w:hint="eastAsia"/>
          <w:szCs w:val="22"/>
          <w:lang w:val="en-US" w:eastAsia="zh-CN"/>
        </w:rPr>
        <w:t>何人开展安全检查；</w:t>
      </w:r>
    </w:p>
    <w:p>
      <w:pPr>
        <w:pStyle w:val="21"/>
        <w:numPr>
          <w:ilvl w:val="0"/>
          <w:numId w:val="72"/>
        </w:numPr>
        <w:ind w:left="420" w:leftChars="0" w:firstLine="0" w:firstLineChars="0"/>
        <w:rPr>
          <w:rFonts w:hint="eastAsia"/>
          <w:szCs w:val="22"/>
          <w:lang w:val="en-US" w:eastAsia="zh-CN"/>
        </w:rPr>
      </w:pPr>
      <w:r>
        <w:rPr>
          <w:rFonts w:hint="eastAsia"/>
          <w:szCs w:val="22"/>
          <w:lang w:val="en-US" w:eastAsia="zh-CN"/>
        </w:rPr>
        <w:t>何时应实施检查；</w:t>
      </w:r>
    </w:p>
    <w:p>
      <w:pPr>
        <w:pStyle w:val="21"/>
        <w:numPr>
          <w:ilvl w:val="0"/>
          <w:numId w:val="72"/>
        </w:numPr>
        <w:ind w:left="420" w:leftChars="0" w:firstLine="0" w:firstLineChars="0"/>
        <w:rPr>
          <w:rFonts w:hint="eastAsia"/>
          <w:szCs w:val="22"/>
          <w:lang w:val="en-US" w:eastAsia="zh-CN"/>
        </w:rPr>
      </w:pPr>
      <w:r>
        <w:rPr>
          <w:rFonts w:hint="eastAsia"/>
          <w:szCs w:val="22"/>
          <w:lang w:val="en-US" w:eastAsia="zh-CN"/>
        </w:rPr>
        <w:t>何时应分析和评价安全检查的结果。</w:t>
      </w:r>
    </w:p>
    <w:p>
      <w:pPr>
        <w:pStyle w:val="21"/>
        <w:rPr>
          <w:rFonts w:hint="eastAsia"/>
          <w:lang w:val="en-US" w:eastAsia="zh-CN"/>
        </w:rPr>
      </w:pPr>
      <w:r>
        <w:rPr>
          <w:rFonts w:hint="eastAsia"/>
          <w:lang w:val="en-US" w:eastAsia="zh-CN"/>
        </w:rPr>
        <w:t>适当时，企业应确保使用和维护经校准或验证的检查设备设施。</w:t>
      </w:r>
    </w:p>
    <w:p>
      <w:pPr>
        <w:pStyle w:val="21"/>
        <w:rPr>
          <w:rFonts w:hint="eastAsia"/>
          <w:lang w:val="en-US" w:eastAsia="zh-CN"/>
        </w:rPr>
      </w:pPr>
      <w:r>
        <w:rPr>
          <w:rFonts w:hint="eastAsia"/>
          <w:lang w:val="en-US" w:eastAsia="zh-CN"/>
        </w:rPr>
        <w:t>企业应评价其安全绩效和安全与风险综合管理体系的有效性。</w:t>
      </w:r>
    </w:p>
    <w:p>
      <w:pPr>
        <w:pStyle w:val="21"/>
        <w:rPr>
          <w:rFonts w:hint="default"/>
          <w:lang w:val="en-US" w:eastAsia="zh-CN"/>
        </w:rPr>
      </w:pPr>
      <w:r>
        <w:rPr>
          <w:rFonts w:hint="eastAsia"/>
          <w:lang w:val="en-US" w:eastAsia="zh-CN"/>
        </w:rPr>
        <w:t>企业应保留适当的成文信息，作为安全检查、分析和评价结果的证据。</w:t>
      </w:r>
    </w:p>
    <w:p>
      <w:pPr>
        <w:pStyle w:val="51"/>
        <w:bidi w:val="0"/>
        <w:ind w:left="0" w:leftChars="0" w:firstLine="0" w:firstLineChars="0"/>
        <w:rPr>
          <w:rFonts w:hint="default"/>
          <w:lang w:val="en-US" w:eastAsia="zh-CN"/>
        </w:rPr>
      </w:pPr>
      <w:bookmarkStart w:id="310" w:name="_Toc13542"/>
      <w:bookmarkStart w:id="311" w:name="_Toc18785"/>
      <w:bookmarkStart w:id="312" w:name="_Toc9649"/>
      <w:r>
        <w:rPr>
          <w:rFonts w:hint="default"/>
          <w:lang w:val="en-US" w:eastAsia="zh-CN"/>
        </w:rPr>
        <w:t>绩效考核</w:t>
      </w:r>
      <w:bookmarkEnd w:id="310"/>
      <w:bookmarkEnd w:id="311"/>
      <w:bookmarkEnd w:id="312"/>
    </w:p>
    <w:p>
      <w:pPr>
        <w:pStyle w:val="21"/>
        <w:rPr>
          <w:rFonts w:hint="eastAsia"/>
          <w:lang w:val="en-US" w:eastAsia="zh-CN"/>
        </w:rPr>
      </w:pPr>
      <w:r>
        <w:rPr>
          <w:rFonts w:hint="eastAsia"/>
          <w:lang w:val="en-US" w:eastAsia="zh-CN"/>
        </w:rPr>
        <w:t>企业应按计划的时间间隔实施绩效考核，以对安全与风险综合管理体系的绩效进行激励或者问责。</w:t>
      </w:r>
    </w:p>
    <w:p>
      <w:pPr>
        <w:pStyle w:val="21"/>
        <w:rPr>
          <w:rFonts w:hint="eastAsia"/>
          <w:lang w:val="en-US" w:eastAsia="zh-CN"/>
        </w:rPr>
      </w:pPr>
      <w:r>
        <w:rPr>
          <w:rFonts w:hint="eastAsia"/>
          <w:lang w:val="en-US" w:eastAsia="zh-CN"/>
        </w:rPr>
        <w:t>企业应确定：</w:t>
      </w:r>
    </w:p>
    <w:p>
      <w:pPr>
        <w:pStyle w:val="21"/>
        <w:numPr>
          <w:ilvl w:val="0"/>
          <w:numId w:val="73"/>
        </w:numPr>
        <w:ind w:left="420" w:leftChars="0" w:firstLine="0" w:firstLineChars="0"/>
        <w:rPr>
          <w:rFonts w:hint="eastAsia"/>
          <w:szCs w:val="22"/>
          <w:lang w:val="en-US" w:eastAsia="zh-CN"/>
        </w:rPr>
      </w:pPr>
      <w:r>
        <w:rPr>
          <w:rFonts w:hint="eastAsia"/>
          <w:szCs w:val="22"/>
          <w:lang w:val="en-US" w:eastAsia="zh-CN"/>
        </w:rPr>
        <w:t>绩效考核的范围；</w:t>
      </w:r>
    </w:p>
    <w:p>
      <w:pPr>
        <w:pStyle w:val="21"/>
        <w:numPr>
          <w:ilvl w:val="0"/>
          <w:numId w:val="73"/>
        </w:numPr>
        <w:ind w:left="420" w:leftChars="0" w:firstLine="0" w:firstLineChars="0"/>
        <w:rPr>
          <w:rFonts w:hint="eastAsia"/>
          <w:szCs w:val="22"/>
          <w:lang w:val="en-US" w:eastAsia="zh-CN"/>
        </w:rPr>
      </w:pPr>
      <w:r>
        <w:rPr>
          <w:rFonts w:hint="eastAsia"/>
          <w:szCs w:val="22"/>
          <w:lang w:val="en-US" w:eastAsia="zh-CN"/>
        </w:rPr>
        <w:t>绩效考核的对象；</w:t>
      </w:r>
    </w:p>
    <w:p>
      <w:pPr>
        <w:pStyle w:val="21"/>
        <w:numPr>
          <w:ilvl w:val="0"/>
          <w:numId w:val="73"/>
        </w:numPr>
        <w:ind w:left="420" w:leftChars="0" w:firstLine="0" w:firstLineChars="0"/>
        <w:rPr>
          <w:rFonts w:hint="eastAsia"/>
          <w:szCs w:val="22"/>
          <w:lang w:val="en-US" w:eastAsia="zh-CN"/>
        </w:rPr>
      </w:pPr>
      <w:r>
        <w:rPr>
          <w:rFonts w:hint="eastAsia"/>
          <w:szCs w:val="22"/>
          <w:lang w:val="en-US" w:eastAsia="zh-CN"/>
        </w:rPr>
        <w:t>适用的考核办法，以确保有效的结果；</w:t>
      </w:r>
    </w:p>
    <w:p>
      <w:pPr>
        <w:pStyle w:val="21"/>
        <w:numPr>
          <w:ilvl w:val="0"/>
          <w:numId w:val="73"/>
        </w:numPr>
        <w:ind w:left="420" w:leftChars="0" w:firstLine="0" w:firstLineChars="0"/>
        <w:rPr>
          <w:rFonts w:hint="eastAsia"/>
          <w:szCs w:val="22"/>
          <w:lang w:val="en-US" w:eastAsia="zh-CN"/>
        </w:rPr>
      </w:pPr>
      <w:r>
        <w:rPr>
          <w:rFonts w:hint="eastAsia"/>
          <w:szCs w:val="22"/>
          <w:lang w:val="en-US" w:eastAsia="zh-CN"/>
        </w:rPr>
        <w:t>适用的激励方式；</w:t>
      </w:r>
    </w:p>
    <w:p>
      <w:pPr>
        <w:pStyle w:val="21"/>
        <w:numPr>
          <w:ilvl w:val="0"/>
          <w:numId w:val="73"/>
        </w:numPr>
        <w:ind w:left="420" w:leftChars="0" w:firstLine="0" w:firstLineChars="0"/>
        <w:rPr>
          <w:rFonts w:hint="eastAsia"/>
          <w:szCs w:val="22"/>
          <w:lang w:val="en-US" w:eastAsia="zh-CN"/>
        </w:rPr>
      </w:pPr>
      <w:r>
        <w:rPr>
          <w:rFonts w:hint="eastAsia"/>
          <w:szCs w:val="22"/>
          <w:lang w:val="en-US" w:eastAsia="zh-CN"/>
        </w:rPr>
        <w:t>适当的问责方式。</w:t>
      </w:r>
    </w:p>
    <w:p>
      <w:pPr>
        <w:pStyle w:val="21"/>
        <w:rPr>
          <w:rFonts w:hint="default"/>
          <w:lang w:val="en-US" w:eastAsia="zh-CN"/>
        </w:rPr>
      </w:pPr>
      <w:r>
        <w:rPr>
          <w:rFonts w:hint="eastAsia"/>
          <w:lang w:val="en-US" w:eastAsia="zh-CN"/>
        </w:rPr>
        <w:t>企业应保留适当的成文信息，作为绩效考核的证据。</w:t>
      </w:r>
    </w:p>
    <w:p>
      <w:pPr>
        <w:pStyle w:val="51"/>
        <w:bidi w:val="0"/>
        <w:ind w:left="0" w:leftChars="0" w:firstLine="0" w:firstLineChars="0"/>
        <w:rPr>
          <w:rFonts w:hint="default"/>
          <w:lang w:val="en-US" w:eastAsia="zh-CN"/>
        </w:rPr>
      </w:pPr>
      <w:bookmarkStart w:id="313" w:name="_Toc383"/>
      <w:bookmarkStart w:id="314" w:name="_Toc12221"/>
      <w:bookmarkStart w:id="315" w:name="_Toc11105"/>
      <w:r>
        <w:rPr>
          <w:rFonts w:hint="eastAsia"/>
          <w:lang w:val="en-US" w:eastAsia="zh-CN"/>
        </w:rPr>
        <w:t>内部审核</w:t>
      </w:r>
      <w:bookmarkEnd w:id="313"/>
      <w:bookmarkEnd w:id="314"/>
    </w:p>
    <w:bookmarkEnd w:id="315"/>
    <w:p>
      <w:pPr>
        <w:pStyle w:val="21"/>
        <w:rPr>
          <w:rFonts w:hint="eastAsia"/>
          <w:lang w:val="en-US" w:eastAsia="zh-CN"/>
        </w:rPr>
      </w:pPr>
      <w:r>
        <w:rPr>
          <w:rFonts w:hint="eastAsia"/>
          <w:lang w:val="en-US" w:eastAsia="zh-CN"/>
        </w:rPr>
        <w:t>企业应按计划的时间间隔实施内部审核，以提供下列关于安全与风险综合管理体系的信息：</w:t>
      </w:r>
    </w:p>
    <w:p>
      <w:pPr>
        <w:pStyle w:val="21"/>
        <w:numPr>
          <w:ilvl w:val="0"/>
          <w:numId w:val="74"/>
        </w:numPr>
        <w:ind w:left="420" w:leftChars="0" w:firstLine="0" w:firstLineChars="0"/>
        <w:rPr>
          <w:rFonts w:hint="eastAsia"/>
          <w:szCs w:val="22"/>
          <w:lang w:val="en-US" w:eastAsia="zh-CN"/>
        </w:rPr>
      </w:pPr>
      <w:r>
        <w:rPr>
          <w:rFonts w:hint="eastAsia"/>
          <w:szCs w:val="22"/>
          <w:lang w:val="en-US" w:eastAsia="zh-CN"/>
        </w:rPr>
        <w:t>是否符合安全与风险综合管理体系的要求；</w:t>
      </w:r>
    </w:p>
    <w:p>
      <w:pPr>
        <w:pStyle w:val="21"/>
        <w:numPr>
          <w:ilvl w:val="0"/>
          <w:numId w:val="74"/>
        </w:numPr>
        <w:ind w:left="420" w:leftChars="0" w:firstLine="0" w:firstLineChars="0"/>
        <w:rPr>
          <w:rFonts w:hint="default"/>
          <w:szCs w:val="22"/>
          <w:lang w:val="en-US" w:eastAsia="zh-CN"/>
        </w:rPr>
      </w:pPr>
      <w:r>
        <w:rPr>
          <w:rFonts w:hint="eastAsia"/>
          <w:szCs w:val="22"/>
          <w:lang w:val="en-US" w:eastAsia="zh-CN"/>
        </w:rPr>
        <w:t>是否得到了有效的实施和保持。</w:t>
      </w:r>
    </w:p>
    <w:p>
      <w:pPr>
        <w:pStyle w:val="21"/>
        <w:numPr>
          <w:ilvl w:val="0"/>
          <w:numId w:val="0"/>
        </w:numPr>
        <w:ind w:firstLine="420" w:firstLineChars="200"/>
        <w:rPr>
          <w:rFonts w:hint="eastAsia"/>
          <w:szCs w:val="22"/>
          <w:lang w:val="en-US" w:eastAsia="zh-CN"/>
        </w:rPr>
      </w:pPr>
      <w:r>
        <w:rPr>
          <w:rFonts w:hint="eastAsia"/>
          <w:szCs w:val="22"/>
          <w:lang w:val="en-US" w:eastAsia="zh-CN"/>
        </w:rPr>
        <w:t>企业应建立、实施并保持一个或多个内部审核方案，包括实施审核的频次、方法、职责、策划要求和内部审核报告。</w:t>
      </w:r>
    </w:p>
    <w:p>
      <w:pPr>
        <w:pStyle w:val="21"/>
        <w:numPr>
          <w:ilvl w:val="0"/>
          <w:numId w:val="0"/>
        </w:numPr>
        <w:ind w:firstLine="420" w:firstLineChars="200"/>
        <w:rPr>
          <w:rFonts w:hint="eastAsia"/>
          <w:szCs w:val="22"/>
          <w:lang w:val="en-US" w:eastAsia="zh-CN"/>
        </w:rPr>
      </w:pPr>
      <w:r>
        <w:rPr>
          <w:rFonts w:hint="eastAsia"/>
          <w:szCs w:val="22"/>
          <w:lang w:val="en-US" w:eastAsia="zh-CN"/>
        </w:rPr>
        <w:t>建立内部审核方案时，企业必须考虑相关过程的安全重要性、影响企业的变化以及以往审核的结果。</w:t>
      </w:r>
    </w:p>
    <w:p>
      <w:pPr>
        <w:pStyle w:val="21"/>
        <w:numPr>
          <w:ilvl w:val="0"/>
          <w:numId w:val="0"/>
        </w:numPr>
        <w:ind w:firstLine="420" w:firstLineChars="200"/>
        <w:rPr>
          <w:rFonts w:hint="eastAsia"/>
          <w:szCs w:val="22"/>
          <w:lang w:val="en-US" w:eastAsia="zh-CN"/>
        </w:rPr>
      </w:pPr>
      <w:r>
        <w:rPr>
          <w:rFonts w:hint="eastAsia"/>
          <w:szCs w:val="22"/>
          <w:lang w:val="en-US" w:eastAsia="zh-CN"/>
        </w:rPr>
        <w:t>企业应：</w:t>
      </w:r>
    </w:p>
    <w:p>
      <w:pPr>
        <w:pStyle w:val="21"/>
        <w:numPr>
          <w:ilvl w:val="0"/>
          <w:numId w:val="0"/>
        </w:numPr>
        <w:ind w:firstLine="420" w:firstLineChars="200"/>
        <w:rPr>
          <w:rFonts w:hint="eastAsia"/>
          <w:szCs w:val="22"/>
          <w:lang w:val="en-US" w:eastAsia="zh-CN"/>
        </w:rPr>
      </w:pPr>
      <w:r>
        <w:rPr>
          <w:rFonts w:hint="eastAsia"/>
          <w:szCs w:val="22"/>
          <w:lang w:val="en-US" w:eastAsia="zh-CN"/>
        </w:rPr>
        <w:t>——规定每次审核的准则和范围；</w:t>
      </w:r>
    </w:p>
    <w:p>
      <w:pPr>
        <w:pStyle w:val="21"/>
        <w:numPr>
          <w:ilvl w:val="0"/>
          <w:numId w:val="0"/>
        </w:numPr>
        <w:ind w:firstLine="420" w:firstLineChars="200"/>
        <w:rPr>
          <w:rFonts w:hint="eastAsia"/>
          <w:szCs w:val="22"/>
          <w:lang w:val="en-US" w:eastAsia="zh-CN"/>
        </w:rPr>
      </w:pPr>
      <w:r>
        <w:rPr>
          <w:rFonts w:hint="eastAsia"/>
          <w:szCs w:val="22"/>
          <w:lang w:val="en-US" w:eastAsia="zh-CN"/>
        </w:rPr>
        <w:t>——选择合适的审核员并实施审核，确保审核过程的客观性与公正性；</w:t>
      </w:r>
    </w:p>
    <w:p>
      <w:pPr>
        <w:pStyle w:val="21"/>
        <w:numPr>
          <w:ilvl w:val="0"/>
          <w:numId w:val="0"/>
        </w:numPr>
        <w:ind w:firstLine="420" w:firstLineChars="200"/>
        <w:rPr>
          <w:rFonts w:hint="eastAsia"/>
          <w:szCs w:val="22"/>
          <w:lang w:val="en-US" w:eastAsia="zh-CN"/>
        </w:rPr>
      </w:pPr>
      <w:r>
        <w:rPr>
          <w:rFonts w:hint="eastAsia"/>
          <w:szCs w:val="22"/>
          <w:lang w:val="en-US" w:eastAsia="zh-CN"/>
        </w:rPr>
        <w:t>——确保向相关管理者报告审核结果。</w:t>
      </w:r>
    </w:p>
    <w:p>
      <w:pPr>
        <w:pStyle w:val="21"/>
        <w:numPr>
          <w:ilvl w:val="0"/>
          <w:numId w:val="0"/>
        </w:numPr>
        <w:ind w:firstLine="420" w:firstLineChars="200"/>
        <w:rPr>
          <w:rFonts w:hint="default"/>
          <w:szCs w:val="22"/>
          <w:lang w:val="en-US" w:eastAsia="zh-CN"/>
        </w:rPr>
      </w:pPr>
      <w:r>
        <w:rPr>
          <w:rFonts w:hint="eastAsia"/>
          <w:szCs w:val="22"/>
          <w:lang w:val="en-US" w:eastAsia="zh-CN"/>
        </w:rPr>
        <w:t>企业应保留成文信息，作为内部审核方案实施和审核结果的证据。</w:t>
      </w:r>
    </w:p>
    <w:p>
      <w:pPr>
        <w:pStyle w:val="51"/>
        <w:bidi w:val="0"/>
        <w:ind w:left="0" w:leftChars="0" w:firstLine="0" w:firstLineChars="0"/>
        <w:rPr>
          <w:rFonts w:hint="default"/>
          <w:lang w:val="en-US" w:eastAsia="zh-CN"/>
        </w:rPr>
      </w:pPr>
      <w:bookmarkStart w:id="316" w:name="_Toc2399"/>
      <w:bookmarkStart w:id="317" w:name="_Toc16618"/>
      <w:bookmarkStart w:id="318" w:name="_Toc1622"/>
      <w:r>
        <w:rPr>
          <w:rFonts w:hint="default"/>
          <w:lang w:val="en-US" w:eastAsia="zh-CN"/>
        </w:rPr>
        <w:t>外部审核</w:t>
      </w:r>
      <w:bookmarkEnd w:id="316"/>
      <w:bookmarkEnd w:id="317"/>
      <w:bookmarkEnd w:id="318"/>
    </w:p>
    <w:p>
      <w:pPr>
        <w:pStyle w:val="21"/>
        <w:rPr>
          <w:rFonts w:hint="eastAsia"/>
          <w:lang w:val="en-US" w:eastAsia="zh-CN"/>
        </w:rPr>
      </w:pPr>
      <w:r>
        <w:rPr>
          <w:rFonts w:hint="eastAsia"/>
          <w:lang w:val="en-US" w:eastAsia="zh-CN"/>
        </w:rPr>
        <w:t>企业可委托外部机构按策划的时间间隔对企业进行外部审核，以</w:t>
      </w:r>
      <w:r>
        <w:rPr>
          <w:rFonts w:hint="eastAsia"/>
        </w:rPr>
        <w:t>对自我声明进行确认</w:t>
      </w:r>
      <w:r>
        <w:rPr>
          <w:rFonts w:hint="eastAsia"/>
          <w:lang w:val="en-US" w:eastAsia="zh-CN"/>
        </w:rPr>
        <w:t>。</w:t>
      </w:r>
    </w:p>
    <w:p>
      <w:pPr>
        <w:pStyle w:val="21"/>
        <w:rPr>
          <w:rFonts w:hint="eastAsia"/>
          <w:lang w:val="en-US" w:eastAsia="zh-CN"/>
        </w:rPr>
      </w:pPr>
      <w:r>
        <w:rPr>
          <w:rFonts w:hint="eastAsia"/>
          <w:lang w:val="en-US" w:eastAsia="zh-CN"/>
        </w:rPr>
        <w:t>企业在实施外部审核前应确保：</w:t>
      </w:r>
    </w:p>
    <w:p>
      <w:pPr>
        <w:pStyle w:val="21"/>
        <w:numPr>
          <w:ilvl w:val="0"/>
          <w:numId w:val="75"/>
        </w:numPr>
        <w:ind w:left="420" w:leftChars="0" w:firstLine="0" w:firstLineChars="0"/>
        <w:rPr>
          <w:rFonts w:hint="eastAsia"/>
          <w:szCs w:val="22"/>
          <w:lang w:val="en-US" w:eastAsia="zh-CN"/>
        </w:rPr>
      </w:pPr>
      <w:r>
        <w:rPr>
          <w:rFonts w:hint="eastAsia"/>
          <w:szCs w:val="22"/>
          <w:lang w:val="en-US" w:eastAsia="zh-CN"/>
        </w:rPr>
        <w:t>完成规定的内部审核和管理评审；</w:t>
      </w:r>
    </w:p>
    <w:p>
      <w:pPr>
        <w:pStyle w:val="21"/>
        <w:numPr>
          <w:ilvl w:val="0"/>
          <w:numId w:val="75"/>
        </w:numPr>
        <w:ind w:left="420" w:leftChars="0" w:firstLine="0" w:firstLineChars="0"/>
        <w:rPr>
          <w:rFonts w:hint="eastAsia"/>
          <w:szCs w:val="22"/>
          <w:lang w:val="en-US" w:eastAsia="zh-CN"/>
        </w:rPr>
      </w:pPr>
      <w:r>
        <w:rPr>
          <w:rFonts w:hint="eastAsia"/>
          <w:szCs w:val="22"/>
          <w:lang w:val="en-US" w:eastAsia="zh-CN"/>
        </w:rPr>
        <w:t>与审核方充分沟通，确定审核时间；</w:t>
      </w:r>
    </w:p>
    <w:p>
      <w:pPr>
        <w:pStyle w:val="21"/>
        <w:numPr>
          <w:ilvl w:val="0"/>
          <w:numId w:val="75"/>
        </w:numPr>
        <w:ind w:left="420" w:leftChars="0" w:firstLine="0" w:firstLineChars="0"/>
        <w:rPr>
          <w:rFonts w:hint="eastAsia"/>
          <w:szCs w:val="22"/>
          <w:lang w:val="en-US" w:eastAsia="zh-CN"/>
        </w:rPr>
      </w:pPr>
      <w:r>
        <w:rPr>
          <w:rFonts w:hint="eastAsia"/>
          <w:szCs w:val="22"/>
          <w:lang w:val="en-US" w:eastAsia="zh-CN"/>
        </w:rPr>
        <w:t>按审核方要求，收集整理需要的审核资料；</w:t>
      </w:r>
    </w:p>
    <w:p>
      <w:pPr>
        <w:pStyle w:val="21"/>
        <w:numPr>
          <w:ilvl w:val="0"/>
          <w:numId w:val="75"/>
        </w:numPr>
        <w:ind w:left="420" w:leftChars="0" w:firstLine="0" w:firstLineChars="0"/>
        <w:rPr>
          <w:rFonts w:hint="eastAsia"/>
          <w:szCs w:val="22"/>
          <w:lang w:val="en-US" w:eastAsia="zh-CN"/>
        </w:rPr>
      </w:pPr>
      <w:r>
        <w:rPr>
          <w:rFonts w:hint="eastAsia"/>
          <w:szCs w:val="22"/>
          <w:lang w:val="en-US" w:eastAsia="zh-CN"/>
        </w:rPr>
        <w:t>准备好审核需要的资源。</w:t>
      </w:r>
    </w:p>
    <w:p>
      <w:pPr>
        <w:pStyle w:val="21"/>
        <w:rPr>
          <w:rFonts w:hint="default"/>
          <w:lang w:val="en-US" w:eastAsia="zh-CN"/>
        </w:rPr>
      </w:pPr>
      <w:r>
        <w:rPr>
          <w:rFonts w:hint="eastAsia"/>
          <w:lang w:val="en-US" w:eastAsia="zh-CN"/>
        </w:rPr>
        <w:t>企业可对外部审核认定的安全与风险综合管理体系结果进行公告。</w:t>
      </w:r>
    </w:p>
    <w:p>
      <w:pPr>
        <w:pStyle w:val="51"/>
        <w:bidi w:val="0"/>
        <w:ind w:left="0" w:leftChars="0" w:firstLine="0" w:firstLineChars="0"/>
        <w:rPr>
          <w:rFonts w:hint="default"/>
          <w:lang w:val="en-US" w:eastAsia="zh-CN"/>
        </w:rPr>
      </w:pPr>
      <w:bookmarkStart w:id="319" w:name="_Toc4403"/>
      <w:bookmarkStart w:id="320" w:name="_Toc7164"/>
      <w:bookmarkStart w:id="321" w:name="_Toc11333"/>
      <w:r>
        <w:rPr>
          <w:rFonts w:hint="default"/>
          <w:lang w:val="en-US" w:eastAsia="zh-CN"/>
        </w:rPr>
        <w:t>管理评审</w:t>
      </w:r>
      <w:bookmarkEnd w:id="319"/>
      <w:bookmarkEnd w:id="320"/>
      <w:bookmarkEnd w:id="321"/>
    </w:p>
    <w:p>
      <w:pPr>
        <w:pStyle w:val="21"/>
        <w:rPr>
          <w:rFonts w:hint="eastAsia"/>
          <w:lang w:val="en-US" w:eastAsia="zh-CN"/>
        </w:rPr>
      </w:pPr>
      <w:r>
        <w:rPr>
          <w:rFonts w:hint="eastAsia"/>
          <w:lang w:val="en-US" w:eastAsia="zh-CN"/>
        </w:rPr>
        <w:t>最高管理者应按策划的时间间隔对企业的安全与风险综合管理体系进行评审，以确保其持续的适宜性、充分性和有效性。</w:t>
      </w:r>
    </w:p>
    <w:p>
      <w:pPr>
        <w:pStyle w:val="21"/>
        <w:rPr>
          <w:rFonts w:hint="eastAsia"/>
          <w:lang w:val="en-US" w:eastAsia="zh-CN"/>
        </w:rPr>
      </w:pPr>
      <w:r>
        <w:rPr>
          <w:rFonts w:hint="eastAsia"/>
          <w:lang w:val="en-US" w:eastAsia="zh-CN"/>
        </w:rPr>
        <w:t>管理评审应包括对下列事项的考虑：</w:t>
      </w:r>
    </w:p>
    <w:p>
      <w:pPr>
        <w:pStyle w:val="21"/>
        <w:numPr>
          <w:ilvl w:val="0"/>
          <w:numId w:val="76"/>
        </w:numPr>
        <w:ind w:left="420" w:leftChars="0" w:firstLine="0" w:firstLineChars="0"/>
        <w:rPr>
          <w:rFonts w:hint="eastAsia"/>
          <w:szCs w:val="22"/>
          <w:lang w:val="en-US" w:eastAsia="zh-CN"/>
        </w:rPr>
      </w:pPr>
      <w:r>
        <w:rPr>
          <w:rFonts w:hint="eastAsia"/>
          <w:szCs w:val="22"/>
          <w:lang w:val="en-US" w:eastAsia="zh-CN"/>
        </w:rPr>
        <w:t>以往管理评审所采取措施的状况；</w:t>
      </w:r>
    </w:p>
    <w:p>
      <w:pPr>
        <w:pStyle w:val="21"/>
        <w:numPr>
          <w:ilvl w:val="0"/>
          <w:numId w:val="76"/>
        </w:numPr>
        <w:ind w:left="420" w:leftChars="0" w:firstLine="0" w:firstLineChars="0"/>
        <w:rPr>
          <w:rFonts w:hint="eastAsia"/>
          <w:szCs w:val="22"/>
          <w:lang w:val="en-US" w:eastAsia="zh-CN"/>
        </w:rPr>
      </w:pPr>
      <w:r>
        <w:rPr>
          <w:rFonts w:hint="eastAsia"/>
          <w:szCs w:val="22"/>
          <w:lang w:val="en-US" w:eastAsia="zh-CN"/>
        </w:rPr>
        <w:t>和安全与风险综合管理体系相关的内部和外部议题的变化，包括：</w:t>
      </w:r>
    </w:p>
    <w:p>
      <w:pPr>
        <w:pStyle w:val="21"/>
        <w:numPr>
          <w:ilvl w:val="0"/>
          <w:numId w:val="0"/>
        </w:numPr>
        <w:ind w:left="420" w:leftChars="0" w:firstLine="420" w:firstLineChars="200"/>
        <w:rPr>
          <w:rFonts w:hint="eastAsia"/>
          <w:szCs w:val="22"/>
          <w:lang w:val="en-US" w:eastAsia="zh-CN"/>
        </w:rPr>
      </w:pPr>
      <w:r>
        <w:rPr>
          <w:rFonts w:hint="eastAsia"/>
          <w:szCs w:val="22"/>
          <w:lang w:val="en-US" w:eastAsia="zh-CN"/>
        </w:rPr>
        <w:t>1）相关方的需求和期望；</w:t>
      </w:r>
    </w:p>
    <w:p>
      <w:pPr>
        <w:pStyle w:val="21"/>
        <w:numPr>
          <w:ilvl w:val="0"/>
          <w:numId w:val="0"/>
        </w:numPr>
        <w:ind w:left="420" w:leftChars="0" w:firstLine="420" w:firstLineChars="200"/>
        <w:rPr>
          <w:rFonts w:hint="eastAsia"/>
          <w:szCs w:val="22"/>
          <w:lang w:val="en-US" w:eastAsia="zh-CN"/>
        </w:rPr>
      </w:pPr>
      <w:r>
        <w:rPr>
          <w:rFonts w:hint="eastAsia"/>
          <w:szCs w:val="22"/>
          <w:lang w:val="en-US" w:eastAsia="zh-CN"/>
        </w:rPr>
        <w:t>2）合规义务；</w:t>
      </w:r>
    </w:p>
    <w:p>
      <w:pPr>
        <w:pStyle w:val="21"/>
        <w:numPr>
          <w:ilvl w:val="0"/>
          <w:numId w:val="0"/>
        </w:numPr>
        <w:ind w:left="420" w:leftChars="0" w:firstLine="420" w:firstLineChars="200"/>
        <w:rPr>
          <w:rFonts w:hint="eastAsia"/>
          <w:szCs w:val="22"/>
          <w:lang w:val="en-US" w:eastAsia="zh-CN"/>
        </w:rPr>
      </w:pPr>
      <w:r>
        <w:rPr>
          <w:rFonts w:hint="eastAsia"/>
          <w:szCs w:val="22"/>
          <w:lang w:val="en-US" w:eastAsia="zh-CN"/>
        </w:rPr>
        <w:t>3）风险和机遇；</w:t>
      </w:r>
    </w:p>
    <w:p>
      <w:pPr>
        <w:pStyle w:val="21"/>
        <w:numPr>
          <w:ilvl w:val="0"/>
          <w:numId w:val="76"/>
        </w:numPr>
        <w:ind w:left="420" w:leftChars="0" w:firstLine="0" w:firstLineChars="0"/>
        <w:rPr>
          <w:rFonts w:hint="eastAsia"/>
          <w:szCs w:val="22"/>
          <w:lang w:val="en-US" w:eastAsia="zh-CN"/>
        </w:rPr>
      </w:pPr>
      <w:r>
        <w:rPr>
          <w:rFonts w:hint="eastAsia"/>
          <w:szCs w:val="22"/>
          <w:lang w:val="en-US" w:eastAsia="zh-CN"/>
        </w:rPr>
        <w:t>安全与风险方针和目标指标的实现程度；</w:t>
      </w:r>
    </w:p>
    <w:p>
      <w:pPr>
        <w:pStyle w:val="21"/>
        <w:numPr>
          <w:ilvl w:val="0"/>
          <w:numId w:val="76"/>
        </w:numPr>
        <w:ind w:left="420" w:leftChars="0" w:firstLine="0" w:firstLineChars="0"/>
        <w:rPr>
          <w:rFonts w:hint="eastAsia"/>
          <w:szCs w:val="22"/>
          <w:lang w:val="en-US" w:eastAsia="zh-CN"/>
        </w:rPr>
      </w:pPr>
      <w:r>
        <w:rPr>
          <w:rFonts w:hint="eastAsia"/>
          <w:szCs w:val="22"/>
          <w:lang w:val="en-US" w:eastAsia="zh-CN"/>
        </w:rPr>
        <w:t>安全绩效方面的信息，包括以下方面的趋势：</w:t>
      </w:r>
    </w:p>
    <w:p>
      <w:pPr>
        <w:pStyle w:val="21"/>
        <w:numPr>
          <w:ilvl w:val="0"/>
          <w:numId w:val="0"/>
        </w:numPr>
        <w:ind w:left="420" w:leftChars="0" w:firstLine="420" w:firstLineChars="200"/>
        <w:rPr>
          <w:rFonts w:hint="eastAsia"/>
          <w:szCs w:val="22"/>
          <w:lang w:val="en-US" w:eastAsia="zh-CN"/>
        </w:rPr>
      </w:pPr>
      <w:r>
        <w:rPr>
          <w:rFonts w:hint="eastAsia"/>
          <w:szCs w:val="22"/>
          <w:lang w:val="en-US" w:eastAsia="zh-CN"/>
        </w:rPr>
        <w:t>1）事故、事件、不符合、纠正措施和持续改进；</w:t>
      </w:r>
    </w:p>
    <w:p>
      <w:pPr>
        <w:pStyle w:val="21"/>
        <w:numPr>
          <w:ilvl w:val="0"/>
          <w:numId w:val="0"/>
        </w:numPr>
        <w:ind w:left="420" w:leftChars="0" w:firstLine="420" w:firstLineChars="200"/>
        <w:rPr>
          <w:rFonts w:hint="eastAsia"/>
          <w:szCs w:val="22"/>
          <w:lang w:val="en-US" w:eastAsia="zh-CN"/>
        </w:rPr>
      </w:pPr>
      <w:r>
        <w:rPr>
          <w:rFonts w:hint="eastAsia"/>
          <w:szCs w:val="22"/>
          <w:lang w:val="en-US" w:eastAsia="zh-CN"/>
        </w:rPr>
        <w:t>2）监视和测量的结果；</w:t>
      </w:r>
    </w:p>
    <w:p>
      <w:pPr>
        <w:pStyle w:val="21"/>
        <w:numPr>
          <w:ilvl w:val="0"/>
          <w:numId w:val="0"/>
        </w:numPr>
        <w:ind w:left="420" w:leftChars="0" w:firstLine="420" w:firstLineChars="200"/>
        <w:rPr>
          <w:rFonts w:hint="eastAsia"/>
          <w:szCs w:val="22"/>
          <w:lang w:val="en-US" w:eastAsia="zh-CN"/>
        </w:rPr>
      </w:pPr>
      <w:r>
        <w:rPr>
          <w:rFonts w:hint="eastAsia"/>
          <w:szCs w:val="22"/>
          <w:lang w:val="en-US" w:eastAsia="zh-CN"/>
        </w:rPr>
        <w:t>3）合规性评价的结果（合规申明）；</w:t>
      </w:r>
    </w:p>
    <w:p>
      <w:pPr>
        <w:pStyle w:val="21"/>
        <w:numPr>
          <w:ilvl w:val="0"/>
          <w:numId w:val="0"/>
        </w:numPr>
        <w:ind w:left="420" w:leftChars="0" w:firstLine="420" w:firstLineChars="200"/>
        <w:rPr>
          <w:rFonts w:hint="eastAsia"/>
          <w:szCs w:val="22"/>
          <w:lang w:val="en-US" w:eastAsia="zh-CN"/>
        </w:rPr>
      </w:pPr>
      <w:r>
        <w:rPr>
          <w:rFonts w:hint="eastAsia"/>
          <w:szCs w:val="22"/>
          <w:lang w:val="en-US" w:eastAsia="zh-CN"/>
        </w:rPr>
        <w:t>4）审核结果；</w:t>
      </w:r>
    </w:p>
    <w:p>
      <w:pPr>
        <w:pStyle w:val="21"/>
        <w:numPr>
          <w:ilvl w:val="0"/>
          <w:numId w:val="0"/>
        </w:numPr>
        <w:ind w:left="420" w:leftChars="0" w:firstLine="420" w:firstLineChars="200"/>
        <w:rPr>
          <w:rFonts w:hint="eastAsia"/>
          <w:szCs w:val="22"/>
          <w:lang w:val="en-US" w:eastAsia="zh-CN"/>
        </w:rPr>
      </w:pPr>
      <w:r>
        <w:rPr>
          <w:rFonts w:hint="eastAsia"/>
          <w:szCs w:val="22"/>
          <w:lang w:val="en-US" w:eastAsia="zh-CN"/>
        </w:rPr>
        <w:t>5）工作人员的协商和参与；</w:t>
      </w:r>
    </w:p>
    <w:p>
      <w:pPr>
        <w:pStyle w:val="21"/>
        <w:numPr>
          <w:ilvl w:val="0"/>
          <w:numId w:val="0"/>
        </w:numPr>
        <w:ind w:left="420" w:leftChars="0" w:firstLine="420" w:firstLineChars="200"/>
        <w:rPr>
          <w:rFonts w:hint="eastAsia"/>
          <w:szCs w:val="22"/>
          <w:lang w:val="en-US" w:eastAsia="zh-CN"/>
        </w:rPr>
      </w:pPr>
      <w:r>
        <w:rPr>
          <w:rFonts w:hint="eastAsia"/>
          <w:szCs w:val="22"/>
          <w:lang w:val="en-US" w:eastAsia="zh-CN"/>
        </w:rPr>
        <w:t>6）风险和机遇；</w:t>
      </w:r>
    </w:p>
    <w:p>
      <w:pPr>
        <w:pStyle w:val="21"/>
        <w:numPr>
          <w:ilvl w:val="0"/>
          <w:numId w:val="76"/>
        </w:numPr>
        <w:ind w:left="420" w:leftChars="0" w:firstLine="0" w:firstLineChars="0"/>
        <w:rPr>
          <w:rFonts w:hint="eastAsia"/>
          <w:szCs w:val="22"/>
          <w:lang w:val="en-US" w:eastAsia="zh-CN"/>
        </w:rPr>
      </w:pPr>
      <w:r>
        <w:rPr>
          <w:rFonts w:hint="eastAsia"/>
          <w:szCs w:val="22"/>
          <w:lang w:val="en-US" w:eastAsia="zh-CN"/>
        </w:rPr>
        <w:t>保持有效的安全与风险综合管理体系所需资源的充分性；</w:t>
      </w:r>
    </w:p>
    <w:p>
      <w:pPr>
        <w:pStyle w:val="21"/>
        <w:numPr>
          <w:ilvl w:val="0"/>
          <w:numId w:val="76"/>
        </w:numPr>
        <w:ind w:left="420" w:leftChars="0" w:firstLine="0" w:firstLineChars="0"/>
        <w:rPr>
          <w:rFonts w:hint="eastAsia"/>
          <w:szCs w:val="22"/>
          <w:lang w:val="en-US" w:eastAsia="zh-CN"/>
        </w:rPr>
      </w:pPr>
      <w:r>
        <w:rPr>
          <w:rFonts w:hint="eastAsia"/>
          <w:szCs w:val="22"/>
          <w:lang w:val="en-US" w:eastAsia="zh-CN"/>
        </w:rPr>
        <w:t>与相关方的有关沟通；</w:t>
      </w:r>
    </w:p>
    <w:p>
      <w:pPr>
        <w:pStyle w:val="21"/>
        <w:numPr>
          <w:ilvl w:val="0"/>
          <w:numId w:val="76"/>
        </w:numPr>
        <w:ind w:left="420" w:leftChars="0" w:firstLine="0" w:firstLineChars="0"/>
        <w:rPr>
          <w:rFonts w:hint="default"/>
          <w:szCs w:val="22"/>
          <w:lang w:val="en-US" w:eastAsia="zh-CN"/>
        </w:rPr>
      </w:pPr>
      <w:r>
        <w:rPr>
          <w:rFonts w:hint="eastAsia"/>
          <w:szCs w:val="22"/>
          <w:lang w:val="en-US" w:eastAsia="zh-CN"/>
        </w:rPr>
        <w:t>持续改进的机会。</w:t>
      </w:r>
    </w:p>
    <w:p>
      <w:pPr>
        <w:pStyle w:val="21"/>
        <w:numPr>
          <w:ilvl w:val="0"/>
          <w:numId w:val="0"/>
        </w:numPr>
        <w:ind w:left="420" w:leftChars="0"/>
        <w:rPr>
          <w:rFonts w:hint="eastAsia"/>
          <w:szCs w:val="22"/>
          <w:lang w:val="en-US" w:eastAsia="zh-CN"/>
        </w:rPr>
      </w:pPr>
      <w:r>
        <w:rPr>
          <w:rFonts w:hint="eastAsia"/>
          <w:szCs w:val="22"/>
          <w:lang w:val="en-US" w:eastAsia="zh-CN"/>
        </w:rPr>
        <w:t>管理评审的输出应包括与下列事项有关的决定：</w:t>
      </w:r>
    </w:p>
    <w:p>
      <w:pPr>
        <w:pStyle w:val="21"/>
        <w:numPr>
          <w:ilvl w:val="0"/>
          <w:numId w:val="0"/>
        </w:numPr>
        <w:ind w:left="420" w:leftChars="0"/>
        <w:rPr>
          <w:rFonts w:hint="eastAsia"/>
          <w:szCs w:val="22"/>
          <w:lang w:val="en-US" w:eastAsia="zh-CN"/>
        </w:rPr>
      </w:pPr>
      <w:r>
        <w:rPr>
          <w:rFonts w:hint="eastAsia"/>
          <w:szCs w:val="22"/>
          <w:lang w:val="en-US" w:eastAsia="zh-CN"/>
        </w:rPr>
        <w:t>——安全与风险综合管理体系在实现其预期结果方面的持续适宜性、充分性和有效性；</w:t>
      </w:r>
    </w:p>
    <w:p>
      <w:pPr>
        <w:pStyle w:val="21"/>
        <w:numPr>
          <w:ilvl w:val="0"/>
          <w:numId w:val="0"/>
        </w:numPr>
        <w:ind w:left="420" w:leftChars="0"/>
        <w:rPr>
          <w:rFonts w:hint="eastAsia"/>
          <w:szCs w:val="22"/>
          <w:lang w:val="en-US" w:eastAsia="zh-CN"/>
        </w:rPr>
      </w:pPr>
      <w:r>
        <w:rPr>
          <w:rFonts w:hint="eastAsia"/>
          <w:szCs w:val="22"/>
          <w:lang w:val="en-US" w:eastAsia="zh-CN"/>
        </w:rPr>
        <w:t>——持续改进的机会；</w:t>
      </w:r>
    </w:p>
    <w:p>
      <w:pPr>
        <w:pStyle w:val="21"/>
        <w:numPr>
          <w:ilvl w:val="0"/>
          <w:numId w:val="0"/>
        </w:numPr>
        <w:ind w:left="420" w:leftChars="0"/>
        <w:rPr>
          <w:rFonts w:hint="eastAsia"/>
          <w:szCs w:val="22"/>
          <w:lang w:val="en-US" w:eastAsia="zh-CN"/>
        </w:rPr>
      </w:pPr>
      <w:r>
        <w:rPr>
          <w:rFonts w:hint="eastAsia"/>
          <w:szCs w:val="22"/>
          <w:lang w:val="en-US" w:eastAsia="zh-CN"/>
        </w:rPr>
        <w:t>——任何对安全与风险综合管理体系变更的需求；</w:t>
      </w:r>
    </w:p>
    <w:p>
      <w:pPr>
        <w:pStyle w:val="21"/>
        <w:numPr>
          <w:ilvl w:val="0"/>
          <w:numId w:val="0"/>
        </w:numPr>
        <w:ind w:left="420" w:leftChars="0"/>
        <w:rPr>
          <w:rFonts w:hint="eastAsia"/>
          <w:szCs w:val="22"/>
          <w:lang w:val="en-US" w:eastAsia="zh-CN"/>
        </w:rPr>
      </w:pPr>
      <w:r>
        <w:rPr>
          <w:rFonts w:hint="eastAsia"/>
          <w:szCs w:val="22"/>
          <w:lang w:val="en-US" w:eastAsia="zh-CN"/>
        </w:rPr>
        <w:t>——所需资源；</w:t>
      </w:r>
    </w:p>
    <w:p>
      <w:pPr>
        <w:pStyle w:val="21"/>
        <w:numPr>
          <w:ilvl w:val="0"/>
          <w:numId w:val="0"/>
        </w:numPr>
        <w:ind w:left="420" w:leftChars="0"/>
        <w:rPr>
          <w:rFonts w:hint="eastAsia"/>
          <w:szCs w:val="22"/>
          <w:lang w:val="en-US" w:eastAsia="zh-CN"/>
        </w:rPr>
      </w:pPr>
      <w:r>
        <w:rPr>
          <w:rFonts w:hint="eastAsia"/>
          <w:szCs w:val="22"/>
          <w:lang w:val="en-US" w:eastAsia="zh-CN"/>
        </w:rPr>
        <w:t>——措施（若需要）；</w:t>
      </w:r>
    </w:p>
    <w:p>
      <w:pPr>
        <w:pStyle w:val="21"/>
        <w:numPr>
          <w:ilvl w:val="0"/>
          <w:numId w:val="0"/>
        </w:numPr>
        <w:ind w:left="420" w:leftChars="0"/>
        <w:rPr>
          <w:rFonts w:hint="eastAsia"/>
          <w:szCs w:val="22"/>
          <w:lang w:val="en-US" w:eastAsia="zh-CN"/>
        </w:rPr>
      </w:pPr>
      <w:r>
        <w:rPr>
          <w:rFonts w:hint="eastAsia"/>
          <w:szCs w:val="22"/>
          <w:lang w:val="en-US" w:eastAsia="zh-CN"/>
        </w:rPr>
        <w:t>——改进安全与风险综合管理体系与其他业务过程融合的机会；</w:t>
      </w:r>
    </w:p>
    <w:p>
      <w:pPr>
        <w:pStyle w:val="21"/>
        <w:numPr>
          <w:ilvl w:val="0"/>
          <w:numId w:val="0"/>
        </w:numPr>
        <w:ind w:left="420" w:leftChars="0"/>
        <w:rPr>
          <w:rFonts w:hint="eastAsia"/>
          <w:szCs w:val="22"/>
          <w:lang w:val="en-US" w:eastAsia="zh-CN"/>
        </w:rPr>
      </w:pPr>
      <w:r>
        <w:rPr>
          <w:rFonts w:hint="eastAsia"/>
          <w:szCs w:val="22"/>
          <w:lang w:val="en-US" w:eastAsia="zh-CN"/>
        </w:rPr>
        <w:t>——对企业战略方向的任何影响。</w:t>
      </w:r>
    </w:p>
    <w:p>
      <w:pPr>
        <w:pStyle w:val="21"/>
        <w:numPr>
          <w:ilvl w:val="0"/>
          <w:numId w:val="0"/>
        </w:numPr>
        <w:ind w:left="420" w:leftChars="0"/>
        <w:rPr>
          <w:rFonts w:hint="eastAsia"/>
          <w:szCs w:val="22"/>
          <w:lang w:val="en-US" w:eastAsia="zh-CN"/>
        </w:rPr>
      </w:pPr>
      <w:r>
        <w:rPr>
          <w:rFonts w:hint="eastAsia"/>
          <w:szCs w:val="22"/>
          <w:lang w:val="en-US" w:eastAsia="zh-CN"/>
        </w:rPr>
        <w:t>最高管理者应就相关的管理评审输出与工作人员及其代表（若有）进行沟通。</w:t>
      </w:r>
    </w:p>
    <w:p>
      <w:pPr>
        <w:pStyle w:val="21"/>
        <w:numPr>
          <w:ilvl w:val="0"/>
          <w:numId w:val="0"/>
        </w:numPr>
        <w:ind w:left="420" w:leftChars="0"/>
        <w:rPr>
          <w:rFonts w:hint="default"/>
          <w:szCs w:val="22"/>
          <w:lang w:val="en-US" w:eastAsia="zh-CN"/>
        </w:rPr>
      </w:pPr>
      <w:r>
        <w:rPr>
          <w:rFonts w:hint="eastAsia"/>
          <w:szCs w:val="22"/>
          <w:lang w:val="en-US" w:eastAsia="zh-CN"/>
        </w:rPr>
        <w:t>企业应保留成文信息，以作为管理评审结果的证据。</w:t>
      </w:r>
    </w:p>
    <w:p>
      <w:pPr>
        <w:pStyle w:val="94"/>
        <w:rPr>
          <w:rFonts w:hint="default"/>
          <w:szCs w:val="22"/>
          <w:lang w:val="en-US" w:eastAsia="zh-CN"/>
        </w:rPr>
      </w:pPr>
      <w:bookmarkStart w:id="322" w:name="_Toc29301"/>
      <w:bookmarkStart w:id="323" w:name="_Toc8094"/>
      <w:bookmarkStart w:id="324" w:name="_Toc30473"/>
      <w:r>
        <w:rPr>
          <w:rFonts w:hint="eastAsia"/>
          <w:szCs w:val="22"/>
          <w:lang w:val="en-US" w:eastAsia="zh-CN"/>
        </w:rPr>
        <w:t>改进</w:t>
      </w:r>
      <w:bookmarkEnd w:id="322"/>
      <w:bookmarkEnd w:id="323"/>
      <w:bookmarkEnd w:id="324"/>
    </w:p>
    <w:p>
      <w:pPr>
        <w:pStyle w:val="51"/>
        <w:bidi w:val="0"/>
        <w:ind w:left="0" w:leftChars="0" w:firstLine="0" w:firstLineChars="0"/>
        <w:rPr>
          <w:rFonts w:hint="default"/>
          <w:lang w:val="en-US" w:eastAsia="zh-CN"/>
        </w:rPr>
      </w:pPr>
      <w:bookmarkStart w:id="325" w:name="_Toc22613"/>
      <w:bookmarkStart w:id="326" w:name="_Toc14319"/>
      <w:bookmarkStart w:id="327" w:name="_Toc8382"/>
      <w:r>
        <w:rPr>
          <w:rFonts w:hint="default"/>
          <w:lang w:val="en-US" w:eastAsia="zh-CN"/>
        </w:rPr>
        <w:t>事故事件管理</w:t>
      </w:r>
      <w:bookmarkEnd w:id="325"/>
      <w:bookmarkEnd w:id="326"/>
      <w:bookmarkEnd w:id="327"/>
    </w:p>
    <w:p>
      <w:pPr>
        <w:pStyle w:val="51"/>
        <w:numPr>
          <w:ilvl w:val="1"/>
          <w:numId w:val="0"/>
        </w:numPr>
        <w:bidi w:val="0"/>
        <w:ind w:leftChars="0"/>
        <w:rPr>
          <w:rFonts w:hint="eastAsia"/>
          <w:lang w:val="en-US" w:eastAsia="zh-CN"/>
        </w:rPr>
      </w:pPr>
      <w:bookmarkStart w:id="328" w:name="_Toc22952"/>
      <w:bookmarkStart w:id="329" w:name="_Toc18888"/>
      <w:bookmarkStart w:id="330" w:name="_Toc29007"/>
      <w:r>
        <w:rPr>
          <w:rFonts w:hint="eastAsia"/>
          <w:lang w:val="en-US" w:eastAsia="zh-CN"/>
        </w:rPr>
        <w:t>14.1.1报告</w:t>
      </w:r>
      <w:bookmarkEnd w:id="328"/>
      <w:bookmarkEnd w:id="329"/>
      <w:bookmarkEnd w:id="330"/>
    </w:p>
    <w:p>
      <w:pPr>
        <w:pStyle w:val="21"/>
        <w:rPr>
          <w:rFonts w:hint="default"/>
          <w:lang w:val="en-US" w:eastAsia="zh-CN"/>
        </w:rPr>
      </w:pPr>
      <w:r>
        <w:rPr>
          <w:rFonts w:hint="eastAsia"/>
          <w:lang w:val="en-US" w:eastAsia="zh-CN"/>
        </w:rPr>
        <w:t>及时报告事故事件可有助于消除危险源和尽快降低相关安全风险。</w:t>
      </w:r>
    </w:p>
    <w:p>
      <w:pPr>
        <w:pStyle w:val="21"/>
        <w:rPr>
          <w:rFonts w:hint="eastAsia"/>
          <w:lang w:val="en-US" w:eastAsia="zh-CN"/>
        </w:rPr>
      </w:pPr>
      <w:r>
        <w:rPr>
          <w:rFonts w:hint="eastAsia"/>
          <w:lang w:val="en-US" w:eastAsia="zh-CN"/>
        </w:rPr>
        <w:t>企业应：</w:t>
      </w:r>
    </w:p>
    <w:p>
      <w:pPr>
        <w:pStyle w:val="21"/>
        <w:numPr>
          <w:ilvl w:val="0"/>
          <w:numId w:val="77"/>
        </w:numPr>
        <w:ind w:left="420" w:leftChars="0" w:firstLine="0" w:firstLineChars="0"/>
        <w:rPr>
          <w:rFonts w:hint="eastAsia"/>
          <w:szCs w:val="22"/>
          <w:lang w:val="en-US" w:eastAsia="zh-CN"/>
        </w:rPr>
      </w:pPr>
      <w:r>
        <w:rPr>
          <w:rFonts w:hint="eastAsia"/>
          <w:szCs w:val="22"/>
          <w:lang w:val="en-US" w:eastAsia="zh-CN"/>
        </w:rPr>
        <w:t>明确事故事件报告的程序；</w:t>
      </w:r>
    </w:p>
    <w:p>
      <w:pPr>
        <w:pStyle w:val="21"/>
        <w:numPr>
          <w:ilvl w:val="0"/>
          <w:numId w:val="77"/>
        </w:numPr>
        <w:ind w:left="420" w:leftChars="0" w:firstLine="0" w:firstLineChars="0"/>
        <w:rPr>
          <w:rFonts w:hint="eastAsia"/>
          <w:szCs w:val="22"/>
          <w:lang w:val="en-US" w:eastAsia="zh-CN"/>
        </w:rPr>
      </w:pPr>
      <w:r>
        <w:rPr>
          <w:rFonts w:hint="eastAsia"/>
          <w:szCs w:val="22"/>
          <w:lang w:val="en-US" w:eastAsia="zh-CN"/>
        </w:rPr>
        <w:t>明确事故事件报告的相关制度，如事故事件登记、报告表格的标准格式和内容要求；</w:t>
      </w:r>
    </w:p>
    <w:p>
      <w:pPr>
        <w:pStyle w:val="21"/>
        <w:numPr>
          <w:ilvl w:val="0"/>
          <w:numId w:val="77"/>
        </w:numPr>
        <w:ind w:left="420" w:leftChars="0" w:firstLine="0" w:firstLineChars="0"/>
        <w:rPr>
          <w:rFonts w:hint="eastAsia"/>
          <w:szCs w:val="22"/>
          <w:lang w:val="en-US" w:eastAsia="zh-CN"/>
        </w:rPr>
      </w:pPr>
      <w:r>
        <w:rPr>
          <w:rFonts w:hint="eastAsia"/>
          <w:szCs w:val="22"/>
          <w:lang w:val="en-US" w:eastAsia="zh-CN"/>
        </w:rPr>
        <w:t>按策划的时间间隔对报告的事故事件登记注册和审查，以确保所有事故事件均得到有效调查和处理；</w:t>
      </w:r>
    </w:p>
    <w:p>
      <w:pPr>
        <w:pStyle w:val="21"/>
        <w:numPr>
          <w:ilvl w:val="0"/>
          <w:numId w:val="77"/>
        </w:numPr>
        <w:ind w:left="420" w:leftChars="0" w:firstLine="0" w:firstLineChars="0"/>
        <w:rPr>
          <w:rFonts w:hint="eastAsia"/>
          <w:szCs w:val="22"/>
          <w:lang w:val="en-US" w:eastAsia="zh-CN"/>
        </w:rPr>
      </w:pPr>
      <w:r>
        <w:rPr>
          <w:rFonts w:hint="eastAsia"/>
          <w:szCs w:val="22"/>
          <w:lang w:val="en-US" w:eastAsia="zh-CN"/>
        </w:rPr>
        <w:t>系统管理与事故事件相关的成文信息，明确成文信息的保存方式及保存时间要求；</w:t>
      </w:r>
    </w:p>
    <w:p>
      <w:pPr>
        <w:pStyle w:val="21"/>
        <w:numPr>
          <w:ilvl w:val="0"/>
          <w:numId w:val="77"/>
        </w:numPr>
        <w:ind w:left="420" w:leftChars="0" w:firstLine="0" w:firstLineChars="0"/>
        <w:rPr>
          <w:rFonts w:hint="default"/>
          <w:szCs w:val="22"/>
          <w:lang w:val="en-US" w:eastAsia="zh-CN"/>
        </w:rPr>
      </w:pPr>
      <w:r>
        <w:rPr>
          <w:rFonts w:hint="eastAsia"/>
          <w:szCs w:val="22"/>
          <w:lang w:val="en-US" w:eastAsia="zh-CN"/>
        </w:rPr>
        <w:t>对员工进行事故事件报告程序的培训，使其具备报告事故事件的意识和能力。</w:t>
      </w:r>
    </w:p>
    <w:p>
      <w:pPr>
        <w:pStyle w:val="21"/>
        <w:numPr>
          <w:ilvl w:val="0"/>
          <w:numId w:val="0"/>
        </w:numPr>
        <w:ind w:left="420" w:leftChars="0"/>
        <w:rPr>
          <w:rFonts w:hint="default"/>
          <w:szCs w:val="22"/>
          <w:lang w:val="en-US" w:eastAsia="zh-CN"/>
        </w:rPr>
      </w:pPr>
      <w:r>
        <w:rPr>
          <w:rFonts w:hint="eastAsia"/>
          <w:szCs w:val="22"/>
          <w:lang w:val="en-US" w:eastAsia="zh-CN"/>
        </w:rPr>
        <w:t>企业应保留成文信息，以作为事故事件报告结果的证据。</w:t>
      </w:r>
    </w:p>
    <w:p>
      <w:pPr>
        <w:pStyle w:val="51"/>
        <w:numPr>
          <w:ilvl w:val="1"/>
          <w:numId w:val="0"/>
        </w:numPr>
        <w:bidi w:val="0"/>
        <w:ind w:leftChars="0"/>
        <w:rPr>
          <w:rFonts w:hint="eastAsia"/>
          <w:lang w:val="en-US" w:eastAsia="zh-CN"/>
        </w:rPr>
      </w:pPr>
      <w:bookmarkStart w:id="331" w:name="_Toc12125"/>
      <w:bookmarkStart w:id="332" w:name="_Toc30136"/>
      <w:bookmarkStart w:id="333" w:name="_Toc29176"/>
      <w:r>
        <w:rPr>
          <w:rFonts w:hint="eastAsia"/>
          <w:lang w:val="en-US" w:eastAsia="zh-CN"/>
        </w:rPr>
        <w:t>14.1.2调查</w:t>
      </w:r>
      <w:bookmarkEnd w:id="331"/>
      <w:bookmarkEnd w:id="332"/>
      <w:bookmarkEnd w:id="333"/>
    </w:p>
    <w:p>
      <w:pPr>
        <w:pStyle w:val="21"/>
        <w:rPr>
          <w:rFonts w:hint="default"/>
          <w:lang w:val="en-US" w:eastAsia="zh-CN"/>
        </w:rPr>
      </w:pPr>
      <w:r>
        <w:rPr>
          <w:rFonts w:hint="eastAsia"/>
          <w:lang w:val="en-US" w:eastAsia="zh-CN"/>
        </w:rPr>
        <w:t>及时调查事故事件可有助于消除危险源和尽快降低相关安全风险。</w:t>
      </w:r>
    </w:p>
    <w:p>
      <w:pPr>
        <w:pStyle w:val="21"/>
        <w:rPr>
          <w:rFonts w:hint="eastAsia"/>
          <w:lang w:val="en-US" w:eastAsia="zh-CN"/>
        </w:rPr>
      </w:pPr>
      <w:r>
        <w:rPr>
          <w:rFonts w:hint="eastAsia"/>
          <w:lang w:val="en-US" w:eastAsia="zh-CN"/>
        </w:rPr>
        <w:t>企业应：</w:t>
      </w:r>
    </w:p>
    <w:p>
      <w:pPr>
        <w:pStyle w:val="21"/>
        <w:numPr>
          <w:ilvl w:val="0"/>
          <w:numId w:val="78"/>
        </w:numPr>
        <w:ind w:left="420" w:leftChars="0" w:firstLine="0" w:firstLineChars="0"/>
        <w:rPr>
          <w:rFonts w:hint="eastAsia"/>
          <w:szCs w:val="22"/>
          <w:lang w:val="en-US" w:eastAsia="zh-CN"/>
        </w:rPr>
      </w:pPr>
      <w:r>
        <w:rPr>
          <w:rFonts w:hint="eastAsia"/>
          <w:szCs w:val="22"/>
          <w:lang w:val="en-US" w:eastAsia="zh-CN"/>
        </w:rPr>
        <w:t>明确事故事件调查的程序；</w:t>
      </w:r>
    </w:p>
    <w:p>
      <w:pPr>
        <w:pStyle w:val="21"/>
        <w:numPr>
          <w:ilvl w:val="0"/>
          <w:numId w:val="78"/>
        </w:numPr>
        <w:ind w:left="420" w:leftChars="0" w:firstLine="0" w:firstLineChars="0"/>
        <w:rPr>
          <w:rFonts w:hint="eastAsia"/>
          <w:szCs w:val="22"/>
          <w:lang w:val="en-US" w:eastAsia="zh-CN"/>
        </w:rPr>
      </w:pPr>
      <w:r>
        <w:rPr>
          <w:rFonts w:hint="eastAsia"/>
          <w:szCs w:val="22"/>
          <w:lang w:val="en-US" w:eastAsia="zh-CN"/>
        </w:rPr>
        <w:t>明确事故事件调查的相关制度；</w:t>
      </w:r>
    </w:p>
    <w:p>
      <w:pPr>
        <w:pStyle w:val="21"/>
        <w:numPr>
          <w:ilvl w:val="0"/>
          <w:numId w:val="78"/>
        </w:numPr>
        <w:ind w:left="420" w:leftChars="0" w:firstLine="0" w:firstLineChars="0"/>
        <w:rPr>
          <w:rFonts w:hint="eastAsia"/>
          <w:szCs w:val="22"/>
          <w:lang w:val="en-US" w:eastAsia="zh-CN"/>
        </w:rPr>
      </w:pPr>
      <w:r>
        <w:rPr>
          <w:rFonts w:hint="eastAsia"/>
          <w:szCs w:val="22"/>
          <w:lang w:val="en-US" w:eastAsia="zh-CN"/>
        </w:rPr>
        <w:t>明确调查人员及专家的资质和培训要求；</w:t>
      </w:r>
    </w:p>
    <w:p>
      <w:pPr>
        <w:pStyle w:val="21"/>
        <w:numPr>
          <w:ilvl w:val="0"/>
          <w:numId w:val="0"/>
        </w:numPr>
        <w:ind w:left="420" w:leftChars="0"/>
        <w:rPr>
          <w:rFonts w:hint="default"/>
          <w:szCs w:val="22"/>
          <w:lang w:val="en-US" w:eastAsia="zh-CN"/>
        </w:rPr>
      </w:pPr>
      <w:r>
        <w:rPr>
          <w:rFonts w:hint="eastAsia"/>
          <w:szCs w:val="22"/>
          <w:lang w:val="en-US" w:eastAsia="zh-CN"/>
        </w:rPr>
        <w:t>企业应就此成文信息与相关工作人员及其代表（若有）和其他有关的相关方进行沟通。</w:t>
      </w:r>
    </w:p>
    <w:p>
      <w:pPr>
        <w:pStyle w:val="21"/>
        <w:numPr>
          <w:ilvl w:val="0"/>
          <w:numId w:val="0"/>
        </w:numPr>
        <w:ind w:left="420" w:leftChars="0"/>
        <w:rPr>
          <w:rFonts w:hint="default"/>
          <w:szCs w:val="22"/>
          <w:lang w:val="en-US" w:eastAsia="zh-CN"/>
        </w:rPr>
      </w:pPr>
      <w:r>
        <w:rPr>
          <w:rFonts w:hint="eastAsia"/>
          <w:szCs w:val="22"/>
          <w:lang w:val="en-US" w:eastAsia="zh-CN"/>
        </w:rPr>
        <w:t>企业应保留成文信息，以作为事故事件报告结果的证据。</w:t>
      </w:r>
    </w:p>
    <w:p>
      <w:pPr>
        <w:pStyle w:val="51"/>
        <w:numPr>
          <w:ilvl w:val="1"/>
          <w:numId w:val="0"/>
        </w:numPr>
        <w:bidi w:val="0"/>
        <w:ind w:leftChars="0"/>
        <w:rPr>
          <w:rFonts w:hint="default"/>
          <w:lang w:val="en-US" w:eastAsia="zh-CN"/>
        </w:rPr>
      </w:pPr>
      <w:bookmarkStart w:id="334" w:name="_Toc8961"/>
      <w:bookmarkStart w:id="335" w:name="_Toc6668"/>
      <w:bookmarkStart w:id="336" w:name="_Toc19215"/>
      <w:r>
        <w:rPr>
          <w:rFonts w:hint="eastAsia"/>
          <w:lang w:val="en-US" w:eastAsia="zh-CN"/>
        </w:rPr>
        <w:t>14.1.3统计与分析</w:t>
      </w:r>
      <w:bookmarkEnd w:id="334"/>
      <w:bookmarkEnd w:id="335"/>
      <w:bookmarkEnd w:id="336"/>
    </w:p>
    <w:p>
      <w:pPr>
        <w:pStyle w:val="21"/>
        <w:rPr>
          <w:rFonts w:hint="eastAsia"/>
          <w:lang w:val="en-US" w:eastAsia="zh-CN"/>
        </w:rPr>
      </w:pPr>
      <w:r>
        <w:rPr>
          <w:rFonts w:hint="eastAsia"/>
          <w:lang w:val="en-US" w:eastAsia="zh-CN"/>
        </w:rPr>
        <w:t>企业应确保安全生产事故事件得到及时报告、调查和统计分析，以确定趋势，深挖风险管控失效原因并采取措施，防止重复发生。</w:t>
      </w:r>
    </w:p>
    <w:p>
      <w:pPr>
        <w:pStyle w:val="21"/>
        <w:rPr>
          <w:rFonts w:hint="eastAsia"/>
          <w:lang w:val="en-US" w:eastAsia="zh-CN"/>
        </w:rPr>
      </w:pPr>
      <w:r>
        <w:rPr>
          <w:rFonts w:hint="eastAsia"/>
          <w:lang w:val="en-US" w:eastAsia="zh-CN"/>
        </w:rPr>
        <w:t>企业应对事故事件的指标进行统计、分析，并将分析结果进行可视化展示。</w:t>
      </w:r>
    </w:p>
    <w:p>
      <w:pPr>
        <w:pStyle w:val="21"/>
        <w:rPr>
          <w:rFonts w:hint="default"/>
          <w:lang w:val="en-US" w:eastAsia="zh-CN"/>
        </w:rPr>
      </w:pPr>
      <w:r>
        <w:rPr>
          <w:rFonts w:hint="eastAsia"/>
          <w:lang w:val="en-US" w:eastAsia="zh-CN"/>
        </w:rPr>
        <w:t>企业应将统计分析结果应用于风险分级管控、隐患排查治理、绩效评估、管理评审和体系改进等，并向相关组织机构汇报。</w:t>
      </w:r>
    </w:p>
    <w:p>
      <w:pPr>
        <w:pStyle w:val="51"/>
        <w:bidi w:val="0"/>
        <w:ind w:left="0" w:leftChars="0" w:firstLine="0" w:firstLineChars="0"/>
        <w:rPr>
          <w:rFonts w:hint="default"/>
          <w:lang w:val="en-US" w:eastAsia="zh-CN"/>
        </w:rPr>
      </w:pPr>
      <w:bookmarkStart w:id="337" w:name="_Toc6712"/>
      <w:bookmarkStart w:id="338" w:name="_Toc7348"/>
      <w:bookmarkStart w:id="339" w:name="_Toc9306"/>
      <w:r>
        <w:rPr>
          <w:rFonts w:hint="default"/>
          <w:lang w:val="en-US" w:eastAsia="zh-CN"/>
        </w:rPr>
        <w:t>不符合控制</w:t>
      </w:r>
      <w:bookmarkEnd w:id="337"/>
      <w:bookmarkEnd w:id="338"/>
      <w:bookmarkEnd w:id="339"/>
    </w:p>
    <w:p>
      <w:pPr>
        <w:pStyle w:val="21"/>
        <w:rPr>
          <w:rFonts w:hint="eastAsia"/>
          <w:lang w:val="en-US" w:eastAsia="zh-CN"/>
        </w:rPr>
      </w:pPr>
      <w:r>
        <w:rPr>
          <w:rFonts w:hint="eastAsia"/>
          <w:lang w:val="en-US" w:eastAsia="zh-CN"/>
        </w:rPr>
        <w:t>发生不符合时，企业应：</w:t>
      </w:r>
    </w:p>
    <w:p>
      <w:pPr>
        <w:pStyle w:val="21"/>
        <w:numPr>
          <w:ilvl w:val="0"/>
          <w:numId w:val="79"/>
        </w:numPr>
        <w:ind w:left="420" w:leftChars="0" w:firstLine="0" w:firstLineChars="0"/>
        <w:rPr>
          <w:rFonts w:hint="eastAsia"/>
          <w:szCs w:val="22"/>
          <w:lang w:val="en-US" w:eastAsia="zh-CN"/>
        </w:rPr>
      </w:pPr>
      <w:r>
        <w:rPr>
          <w:rFonts w:hint="eastAsia"/>
          <w:szCs w:val="22"/>
          <w:lang w:val="en-US" w:eastAsia="zh-CN"/>
        </w:rPr>
        <w:t>对不符合做出响应，适用时：</w:t>
      </w:r>
    </w:p>
    <w:p>
      <w:pPr>
        <w:pStyle w:val="21"/>
        <w:numPr>
          <w:ilvl w:val="0"/>
          <w:numId w:val="0"/>
        </w:numPr>
        <w:ind w:left="420" w:leftChars="0" w:firstLine="420" w:firstLineChars="200"/>
        <w:rPr>
          <w:rFonts w:hint="eastAsia"/>
          <w:szCs w:val="22"/>
          <w:lang w:val="en-US" w:eastAsia="zh-CN"/>
        </w:rPr>
      </w:pPr>
      <w:r>
        <w:rPr>
          <w:rFonts w:hint="eastAsia"/>
          <w:szCs w:val="22"/>
          <w:lang w:val="en-US" w:eastAsia="zh-CN"/>
        </w:rPr>
        <w:t>1）采取措施控制并纠正不符合；</w:t>
      </w:r>
    </w:p>
    <w:p>
      <w:pPr>
        <w:pStyle w:val="21"/>
        <w:numPr>
          <w:ilvl w:val="0"/>
          <w:numId w:val="0"/>
        </w:numPr>
        <w:ind w:left="420" w:leftChars="0" w:firstLine="420" w:firstLineChars="200"/>
        <w:rPr>
          <w:rFonts w:hint="eastAsia"/>
          <w:szCs w:val="22"/>
          <w:lang w:val="en-US" w:eastAsia="zh-CN"/>
        </w:rPr>
      </w:pPr>
      <w:r>
        <w:rPr>
          <w:rFonts w:hint="eastAsia"/>
          <w:szCs w:val="22"/>
          <w:lang w:val="en-US" w:eastAsia="zh-CN"/>
        </w:rPr>
        <w:t>2）处理后果，包括减轻不利的环境影响；</w:t>
      </w:r>
    </w:p>
    <w:p>
      <w:pPr>
        <w:pStyle w:val="21"/>
        <w:numPr>
          <w:ilvl w:val="0"/>
          <w:numId w:val="79"/>
        </w:numPr>
        <w:ind w:left="420" w:leftChars="0" w:firstLine="0" w:firstLineChars="0"/>
        <w:rPr>
          <w:rFonts w:hint="eastAsia"/>
          <w:szCs w:val="22"/>
          <w:lang w:val="en-US" w:eastAsia="zh-CN"/>
        </w:rPr>
      </w:pPr>
      <w:r>
        <w:rPr>
          <w:rFonts w:hint="eastAsia"/>
          <w:szCs w:val="22"/>
          <w:lang w:val="en-US" w:eastAsia="zh-CN"/>
        </w:rPr>
        <w:t>通过以下活动评价消除不符合原因的措施需求，以防止不符合再次发生或在其他地方发生：</w:t>
      </w:r>
    </w:p>
    <w:p>
      <w:pPr>
        <w:pStyle w:val="21"/>
        <w:numPr>
          <w:ilvl w:val="0"/>
          <w:numId w:val="0"/>
        </w:numPr>
        <w:ind w:left="420" w:leftChars="0" w:firstLine="420" w:firstLineChars="200"/>
        <w:rPr>
          <w:rFonts w:hint="eastAsia"/>
          <w:szCs w:val="22"/>
          <w:lang w:val="en-US" w:eastAsia="zh-CN"/>
        </w:rPr>
      </w:pPr>
      <w:r>
        <w:rPr>
          <w:rFonts w:hint="eastAsia"/>
          <w:szCs w:val="22"/>
          <w:lang w:val="en-US" w:eastAsia="zh-CN"/>
        </w:rPr>
        <w:t>1）评审不符合；</w:t>
      </w:r>
    </w:p>
    <w:p>
      <w:pPr>
        <w:pStyle w:val="21"/>
        <w:numPr>
          <w:ilvl w:val="0"/>
          <w:numId w:val="0"/>
        </w:numPr>
        <w:ind w:left="420" w:leftChars="0" w:firstLine="420" w:firstLineChars="200"/>
        <w:rPr>
          <w:rFonts w:hint="eastAsia"/>
          <w:szCs w:val="22"/>
          <w:lang w:val="en-US" w:eastAsia="zh-CN"/>
        </w:rPr>
      </w:pPr>
      <w:r>
        <w:rPr>
          <w:rFonts w:hint="eastAsia"/>
          <w:szCs w:val="22"/>
          <w:lang w:val="en-US" w:eastAsia="zh-CN"/>
        </w:rPr>
        <w:t>2）确定不符合的原因；</w:t>
      </w:r>
    </w:p>
    <w:p>
      <w:pPr>
        <w:pStyle w:val="21"/>
        <w:numPr>
          <w:ilvl w:val="0"/>
          <w:numId w:val="0"/>
        </w:numPr>
        <w:ind w:left="420" w:leftChars="0" w:firstLine="420" w:firstLineChars="200"/>
        <w:rPr>
          <w:rFonts w:hint="eastAsia"/>
          <w:szCs w:val="22"/>
          <w:lang w:val="en-US" w:eastAsia="zh-CN"/>
        </w:rPr>
      </w:pPr>
      <w:r>
        <w:rPr>
          <w:rFonts w:hint="eastAsia"/>
          <w:szCs w:val="22"/>
          <w:lang w:val="en-US" w:eastAsia="zh-CN"/>
        </w:rPr>
        <w:t>3）确定是否存在或是否可能发生类似的不符合；</w:t>
      </w:r>
    </w:p>
    <w:p>
      <w:pPr>
        <w:pStyle w:val="21"/>
        <w:numPr>
          <w:ilvl w:val="0"/>
          <w:numId w:val="79"/>
        </w:numPr>
        <w:ind w:left="420" w:leftChars="0" w:firstLine="0" w:firstLineChars="0"/>
        <w:rPr>
          <w:rFonts w:hint="eastAsia"/>
          <w:szCs w:val="22"/>
          <w:lang w:val="en-US" w:eastAsia="zh-CN"/>
        </w:rPr>
      </w:pPr>
      <w:r>
        <w:rPr>
          <w:rFonts w:hint="eastAsia"/>
          <w:szCs w:val="22"/>
          <w:lang w:val="en-US" w:eastAsia="zh-CN"/>
        </w:rPr>
        <w:t>实施任何所需的措施；</w:t>
      </w:r>
    </w:p>
    <w:p>
      <w:pPr>
        <w:pStyle w:val="21"/>
        <w:numPr>
          <w:ilvl w:val="0"/>
          <w:numId w:val="79"/>
        </w:numPr>
        <w:ind w:left="420" w:leftChars="0" w:firstLine="0" w:firstLineChars="0"/>
        <w:rPr>
          <w:rFonts w:hint="eastAsia"/>
          <w:szCs w:val="22"/>
          <w:lang w:val="en-US" w:eastAsia="zh-CN"/>
        </w:rPr>
      </w:pPr>
      <w:r>
        <w:rPr>
          <w:rFonts w:hint="eastAsia"/>
          <w:szCs w:val="22"/>
          <w:lang w:val="en-US" w:eastAsia="zh-CN"/>
        </w:rPr>
        <w:t>评审所采取的任何纠正措施的有效性；</w:t>
      </w:r>
    </w:p>
    <w:p>
      <w:pPr>
        <w:pStyle w:val="21"/>
        <w:numPr>
          <w:ilvl w:val="0"/>
          <w:numId w:val="79"/>
        </w:numPr>
        <w:ind w:left="420" w:leftChars="0" w:firstLine="0" w:firstLineChars="0"/>
        <w:rPr>
          <w:rFonts w:hint="default"/>
          <w:szCs w:val="22"/>
          <w:lang w:val="en-US" w:eastAsia="zh-CN"/>
        </w:rPr>
      </w:pPr>
      <w:r>
        <w:rPr>
          <w:rFonts w:hint="eastAsia"/>
          <w:szCs w:val="22"/>
          <w:lang w:val="en-US" w:eastAsia="zh-CN"/>
        </w:rPr>
        <w:t>必要时，对安全与风险综合管理体系进行变更。</w:t>
      </w:r>
    </w:p>
    <w:p>
      <w:pPr>
        <w:pStyle w:val="51"/>
        <w:bidi w:val="0"/>
        <w:ind w:left="0" w:leftChars="0" w:firstLine="0" w:firstLineChars="0"/>
        <w:rPr>
          <w:rFonts w:hint="default"/>
          <w:lang w:val="en-US" w:eastAsia="zh-CN"/>
        </w:rPr>
      </w:pPr>
      <w:bookmarkStart w:id="340" w:name="_Toc28464"/>
      <w:bookmarkStart w:id="341" w:name="_Toc15070"/>
      <w:bookmarkStart w:id="342" w:name="_Toc31301"/>
      <w:r>
        <w:rPr>
          <w:rFonts w:hint="default"/>
          <w:lang w:val="en-US" w:eastAsia="zh-CN"/>
        </w:rPr>
        <w:t>纠正措施</w:t>
      </w:r>
      <w:bookmarkEnd w:id="340"/>
      <w:bookmarkEnd w:id="341"/>
      <w:bookmarkEnd w:id="342"/>
    </w:p>
    <w:p>
      <w:pPr>
        <w:pStyle w:val="21"/>
        <w:rPr>
          <w:rFonts w:hint="eastAsia"/>
          <w:lang w:val="en-US" w:eastAsia="zh-CN"/>
        </w:rPr>
      </w:pPr>
      <w:r>
        <w:rPr>
          <w:rFonts w:hint="eastAsia"/>
          <w:lang w:val="en-US" w:eastAsia="zh-CN"/>
        </w:rPr>
        <w:t>纠正措施应与所发生的不符合造成影响（包括环境影响）的重要程度相适应。</w:t>
      </w:r>
    </w:p>
    <w:p>
      <w:pPr>
        <w:pStyle w:val="21"/>
        <w:rPr>
          <w:rFonts w:hint="eastAsia"/>
          <w:lang w:val="en-US" w:eastAsia="zh-CN"/>
        </w:rPr>
      </w:pPr>
      <w:r>
        <w:rPr>
          <w:rFonts w:hint="eastAsia"/>
          <w:lang w:val="en-US" w:eastAsia="zh-CN"/>
        </w:rPr>
        <w:t>企业应保留成文信息作为下列事项的证据：</w:t>
      </w:r>
    </w:p>
    <w:p>
      <w:pPr>
        <w:pStyle w:val="21"/>
        <w:numPr>
          <w:ilvl w:val="0"/>
          <w:numId w:val="80"/>
        </w:numPr>
        <w:ind w:left="420" w:leftChars="0" w:firstLine="0" w:firstLineChars="0"/>
        <w:rPr>
          <w:rFonts w:hint="eastAsia"/>
          <w:szCs w:val="22"/>
          <w:lang w:val="en-US" w:eastAsia="zh-CN"/>
        </w:rPr>
      </w:pPr>
      <w:r>
        <w:rPr>
          <w:rFonts w:hint="eastAsia"/>
          <w:szCs w:val="22"/>
          <w:lang w:val="en-US" w:eastAsia="zh-CN"/>
        </w:rPr>
        <w:t>不符合的性质和所采取的任何后续措施；</w:t>
      </w:r>
    </w:p>
    <w:p>
      <w:pPr>
        <w:pStyle w:val="21"/>
        <w:numPr>
          <w:ilvl w:val="0"/>
          <w:numId w:val="80"/>
        </w:numPr>
        <w:ind w:left="420" w:leftChars="0" w:firstLine="0" w:firstLineChars="0"/>
        <w:rPr>
          <w:rFonts w:hint="default"/>
          <w:szCs w:val="22"/>
          <w:lang w:val="en-US" w:eastAsia="zh-CN"/>
        </w:rPr>
      </w:pPr>
      <w:r>
        <w:rPr>
          <w:rFonts w:hint="eastAsia"/>
          <w:szCs w:val="22"/>
          <w:lang w:val="en-US" w:eastAsia="zh-CN"/>
        </w:rPr>
        <w:t>任何纠正措施的结果，包括其有效性。</w:t>
      </w:r>
    </w:p>
    <w:p>
      <w:pPr>
        <w:pStyle w:val="21"/>
        <w:numPr>
          <w:ilvl w:val="0"/>
          <w:numId w:val="0"/>
        </w:numPr>
        <w:ind w:left="420" w:leftChars="0"/>
        <w:rPr>
          <w:rFonts w:hint="default"/>
          <w:szCs w:val="22"/>
          <w:lang w:val="en-US" w:eastAsia="zh-CN"/>
        </w:rPr>
      </w:pPr>
      <w:r>
        <w:rPr>
          <w:rFonts w:hint="eastAsia"/>
          <w:szCs w:val="22"/>
          <w:lang w:val="en-US" w:eastAsia="zh-CN"/>
        </w:rPr>
        <w:t>企业应就此成文信息与相关工作人员及其代表（若有）和其他有关的相关方进行沟通。</w:t>
      </w:r>
    </w:p>
    <w:p>
      <w:pPr>
        <w:pStyle w:val="51"/>
        <w:bidi w:val="0"/>
        <w:ind w:left="0" w:leftChars="0" w:firstLine="0" w:firstLineChars="0"/>
        <w:rPr>
          <w:rFonts w:hint="default"/>
          <w:lang w:val="en-US" w:eastAsia="zh-CN"/>
        </w:rPr>
      </w:pPr>
      <w:bookmarkStart w:id="343" w:name="_Toc14077"/>
      <w:bookmarkStart w:id="344" w:name="_Toc31675"/>
      <w:bookmarkStart w:id="345" w:name="_Toc21416"/>
      <w:r>
        <w:rPr>
          <w:rFonts w:hint="default"/>
          <w:lang w:val="en-US" w:eastAsia="zh-CN"/>
        </w:rPr>
        <w:t>持续改进</w:t>
      </w:r>
      <w:bookmarkEnd w:id="343"/>
      <w:bookmarkEnd w:id="344"/>
      <w:bookmarkEnd w:id="345"/>
    </w:p>
    <w:p>
      <w:pPr>
        <w:pStyle w:val="21"/>
        <w:rPr>
          <w:rFonts w:hint="eastAsia"/>
          <w:lang w:val="en-US" w:eastAsia="zh-CN"/>
        </w:rPr>
      </w:pPr>
      <w:r>
        <w:rPr>
          <w:rFonts w:hint="eastAsia"/>
          <w:lang w:val="en-US" w:eastAsia="zh-CN"/>
        </w:rPr>
        <w:t>企业应持续改进安全与风险综合管理体系的适宜性、充分性与有效性，以提升安全管理绩效。</w:t>
      </w:r>
    </w:p>
    <w:p>
      <w:pPr>
        <w:pStyle w:val="21"/>
        <w:rPr>
          <w:rFonts w:hint="eastAsia"/>
          <w:lang w:val="en-US" w:eastAsia="zh-CN"/>
        </w:rPr>
      </w:pPr>
      <w:r>
        <w:rPr>
          <w:rFonts w:hint="eastAsia"/>
          <w:lang w:val="en-US" w:eastAsia="zh-CN"/>
        </w:rPr>
        <w:t>企业可通过安全管理创新、卓越绩效模式等途径实施安全管理改进和价值创造并提升安全管理水平。</w:t>
      </w:r>
    </w:p>
    <w:p>
      <w:pPr>
        <w:pStyle w:val="21"/>
        <w:jc w:val="left"/>
        <w:rPr>
          <w:rFonts w:hint="eastAsia"/>
          <w:lang w:val="en-US" w:eastAsia="zh-CN"/>
        </w:rPr>
      </w:pPr>
    </w:p>
    <w:p>
      <w:pPr>
        <w:pStyle w:val="21"/>
        <w:jc w:val="left"/>
        <w:rPr>
          <w:rFonts w:hint="eastAsia"/>
          <w:lang w:val="en-US" w:eastAsia="zh-CN"/>
        </w:rPr>
      </w:pPr>
    </w:p>
    <w:p>
      <w:pPr>
        <w:pStyle w:val="21"/>
        <w:jc w:val="left"/>
        <w:rPr>
          <w:rFonts w:hint="eastAsia"/>
          <w:lang w:val="en-US" w:eastAsia="zh-CN"/>
        </w:rPr>
      </w:pPr>
    </w:p>
    <w:p>
      <w:pPr>
        <w:pStyle w:val="21"/>
        <w:jc w:val="left"/>
        <w:rPr>
          <w:rFonts w:hint="eastAsia"/>
          <w:lang w:val="en-US" w:eastAsia="zh-CN"/>
        </w:rPr>
      </w:pPr>
    </w:p>
    <w:p>
      <w:pPr>
        <w:pStyle w:val="21"/>
        <w:jc w:val="left"/>
        <w:rPr>
          <w:rFonts w:hint="eastAsia"/>
          <w:lang w:val="en-US" w:eastAsia="zh-CN"/>
        </w:rPr>
      </w:pPr>
    </w:p>
    <w:p>
      <w:pPr>
        <w:pStyle w:val="21"/>
        <w:jc w:val="left"/>
        <w:rPr>
          <w:rFonts w:hint="eastAsia"/>
          <w:lang w:val="en-US" w:eastAsia="zh-CN"/>
        </w:rPr>
      </w:pPr>
    </w:p>
    <w:p>
      <w:pPr>
        <w:pStyle w:val="21"/>
        <w:jc w:val="left"/>
        <w:rPr>
          <w:rFonts w:hint="eastAsia"/>
          <w:lang w:val="en-US" w:eastAsia="zh-CN"/>
        </w:rPr>
      </w:pPr>
    </w:p>
    <w:p>
      <w:pPr>
        <w:pStyle w:val="21"/>
        <w:jc w:val="left"/>
        <w:rPr>
          <w:rFonts w:hint="eastAsia"/>
          <w:lang w:val="en-US" w:eastAsia="zh-CN"/>
        </w:rPr>
      </w:pPr>
    </w:p>
    <w:p>
      <w:pPr>
        <w:pStyle w:val="21"/>
        <w:jc w:val="left"/>
        <w:rPr>
          <w:rFonts w:hint="eastAsia"/>
          <w:lang w:val="en-US" w:eastAsia="zh-CN"/>
        </w:rPr>
      </w:pPr>
    </w:p>
    <w:p>
      <w:pPr>
        <w:pStyle w:val="21"/>
        <w:jc w:val="left"/>
        <w:rPr>
          <w:rFonts w:hint="eastAsia"/>
          <w:lang w:val="en-US" w:eastAsia="zh-CN"/>
        </w:rPr>
      </w:pPr>
    </w:p>
    <w:p>
      <w:pPr>
        <w:pStyle w:val="21"/>
        <w:jc w:val="left"/>
        <w:rPr>
          <w:rFonts w:hint="eastAsia"/>
          <w:lang w:val="en-US" w:eastAsia="zh-CN"/>
        </w:rPr>
      </w:pPr>
    </w:p>
    <w:p>
      <w:pPr>
        <w:pStyle w:val="21"/>
        <w:jc w:val="left"/>
        <w:rPr>
          <w:rFonts w:hint="eastAsia"/>
          <w:lang w:val="en-US" w:eastAsia="zh-CN"/>
        </w:rPr>
      </w:pPr>
    </w:p>
    <w:p>
      <w:pPr>
        <w:pStyle w:val="21"/>
        <w:jc w:val="left"/>
        <w:rPr>
          <w:rFonts w:hint="eastAsia"/>
          <w:lang w:val="en-US" w:eastAsia="zh-CN"/>
        </w:rPr>
      </w:pPr>
    </w:p>
    <w:p>
      <w:pPr>
        <w:pStyle w:val="21"/>
        <w:jc w:val="left"/>
        <w:rPr>
          <w:rFonts w:hint="eastAsia"/>
          <w:lang w:val="en-US" w:eastAsia="zh-CN"/>
        </w:rPr>
      </w:pPr>
    </w:p>
    <w:p>
      <w:pPr>
        <w:pStyle w:val="21"/>
        <w:jc w:val="left"/>
        <w:rPr>
          <w:rFonts w:hint="eastAsia"/>
          <w:lang w:val="en-US" w:eastAsia="zh-CN"/>
        </w:rPr>
      </w:pPr>
    </w:p>
    <w:p>
      <w:pPr>
        <w:pStyle w:val="21"/>
        <w:jc w:val="left"/>
        <w:rPr>
          <w:rFonts w:hint="eastAsia"/>
          <w:lang w:val="en-US" w:eastAsia="zh-CN"/>
        </w:rPr>
      </w:pPr>
    </w:p>
    <w:p>
      <w:pPr>
        <w:pStyle w:val="21"/>
        <w:jc w:val="left"/>
        <w:rPr>
          <w:rFonts w:hint="eastAsia"/>
          <w:lang w:val="en-US" w:eastAsia="zh-CN"/>
        </w:rPr>
      </w:pPr>
    </w:p>
    <w:p>
      <w:pPr>
        <w:pStyle w:val="21"/>
        <w:jc w:val="left"/>
        <w:rPr>
          <w:rFonts w:hint="eastAsia"/>
          <w:lang w:val="en-US" w:eastAsia="zh-CN"/>
        </w:rPr>
      </w:pPr>
    </w:p>
    <w:p>
      <w:pPr>
        <w:pStyle w:val="21"/>
        <w:jc w:val="left"/>
        <w:rPr>
          <w:rFonts w:hint="eastAsia"/>
          <w:lang w:val="en-US" w:eastAsia="zh-CN"/>
        </w:rPr>
      </w:pPr>
    </w:p>
    <w:p>
      <w:pPr>
        <w:pStyle w:val="21"/>
        <w:jc w:val="left"/>
        <w:rPr>
          <w:rFonts w:hint="eastAsia"/>
          <w:lang w:val="en-US" w:eastAsia="zh-CN"/>
        </w:rPr>
      </w:pPr>
    </w:p>
    <w:p>
      <w:pPr>
        <w:pStyle w:val="21"/>
        <w:jc w:val="left"/>
        <w:rPr>
          <w:rFonts w:hint="eastAsia"/>
          <w:lang w:val="en-US" w:eastAsia="zh-CN"/>
        </w:rPr>
      </w:pPr>
    </w:p>
    <w:p>
      <w:pPr>
        <w:pStyle w:val="21"/>
        <w:jc w:val="left"/>
        <w:rPr>
          <w:rFonts w:hint="eastAsia"/>
          <w:lang w:val="en-US" w:eastAsia="zh-CN"/>
        </w:rPr>
      </w:pPr>
    </w:p>
    <w:p>
      <w:pPr>
        <w:pStyle w:val="21"/>
        <w:jc w:val="left"/>
        <w:rPr>
          <w:rFonts w:hint="eastAsia"/>
          <w:lang w:val="en-US" w:eastAsia="zh-CN"/>
        </w:rPr>
      </w:pPr>
    </w:p>
    <w:p>
      <w:pPr>
        <w:pStyle w:val="21"/>
        <w:jc w:val="left"/>
        <w:rPr>
          <w:rFonts w:hint="eastAsia"/>
          <w:lang w:val="en-US" w:eastAsia="zh-CN"/>
        </w:rPr>
      </w:pPr>
    </w:p>
    <w:p>
      <w:pPr>
        <w:pStyle w:val="21"/>
        <w:jc w:val="left"/>
        <w:rPr>
          <w:rFonts w:hint="eastAsia"/>
          <w:lang w:val="en-US" w:eastAsia="zh-CN"/>
        </w:rPr>
      </w:pPr>
    </w:p>
    <w:p>
      <w:pPr>
        <w:pStyle w:val="21"/>
        <w:jc w:val="left"/>
        <w:rPr>
          <w:rFonts w:hint="eastAsia"/>
          <w:lang w:val="en-US" w:eastAsia="zh-CN"/>
        </w:rPr>
      </w:pPr>
    </w:p>
    <w:p>
      <w:pPr>
        <w:pStyle w:val="21"/>
        <w:jc w:val="left"/>
        <w:rPr>
          <w:rFonts w:hint="eastAsia"/>
          <w:lang w:val="en-US" w:eastAsia="zh-CN"/>
        </w:rPr>
      </w:pPr>
    </w:p>
    <w:p>
      <w:pPr>
        <w:pStyle w:val="21"/>
        <w:jc w:val="left"/>
        <w:rPr>
          <w:rFonts w:hint="eastAsia"/>
          <w:lang w:val="en-US" w:eastAsia="zh-CN"/>
        </w:rPr>
      </w:pPr>
    </w:p>
    <w:p>
      <w:pPr>
        <w:pStyle w:val="21"/>
        <w:jc w:val="left"/>
        <w:rPr>
          <w:rFonts w:hint="eastAsia"/>
          <w:lang w:val="en-US" w:eastAsia="zh-CN"/>
        </w:rPr>
      </w:pPr>
    </w:p>
    <w:p>
      <w:pPr>
        <w:pStyle w:val="21"/>
        <w:jc w:val="left"/>
        <w:rPr>
          <w:rFonts w:hint="eastAsia"/>
          <w:lang w:val="en-US" w:eastAsia="zh-CN"/>
        </w:rPr>
      </w:pPr>
    </w:p>
    <w:p>
      <w:pPr>
        <w:pStyle w:val="21"/>
        <w:jc w:val="left"/>
        <w:rPr>
          <w:rFonts w:hint="eastAsia"/>
          <w:lang w:val="en-US" w:eastAsia="zh-CN"/>
        </w:rPr>
      </w:pPr>
    </w:p>
    <w:p>
      <w:pPr>
        <w:pStyle w:val="21"/>
        <w:jc w:val="left"/>
        <w:rPr>
          <w:rFonts w:hint="eastAsia"/>
          <w:lang w:val="en-US" w:eastAsia="zh-CN"/>
        </w:rPr>
      </w:pPr>
    </w:p>
    <w:p>
      <w:pPr>
        <w:pStyle w:val="94"/>
        <w:numPr>
          <w:ilvl w:val="0"/>
          <w:numId w:val="0"/>
        </w:numPr>
        <w:ind w:leftChars="0"/>
        <w:rPr>
          <w:rFonts w:hint="eastAsia"/>
          <w:szCs w:val="22"/>
          <w:lang w:val="en-US" w:eastAsia="zh-CN"/>
        </w:rPr>
      </w:pPr>
      <w:bookmarkStart w:id="346" w:name="_Toc26586"/>
      <w:bookmarkStart w:id="347" w:name="_Toc4963"/>
      <w:r>
        <w:rPr>
          <w:rFonts w:hint="eastAsia"/>
          <w:szCs w:val="22"/>
          <w:lang w:val="en-US" w:eastAsia="zh-CN"/>
        </w:rPr>
        <w:t>附录A 参考文献</w:t>
      </w:r>
      <w:bookmarkEnd w:id="346"/>
      <w:bookmarkEnd w:id="347"/>
    </w:p>
    <w:p>
      <w:pPr>
        <w:pStyle w:val="21"/>
        <w:jc w:val="left"/>
        <w:rPr>
          <w:rFonts w:hint="default"/>
          <w:lang w:val="en-US" w:eastAsia="zh-CN"/>
        </w:rPr>
      </w:pPr>
      <w:r>
        <w:rPr>
          <w:rFonts w:hint="eastAsia"/>
          <w:lang w:val="en-US" w:eastAsia="zh-CN"/>
        </w:rPr>
        <w:t>[1] GB/T 19000-2016 质量管理体系 基础和术语</w:t>
      </w:r>
    </w:p>
    <w:p>
      <w:pPr>
        <w:pStyle w:val="21"/>
        <w:jc w:val="left"/>
        <w:rPr>
          <w:rFonts w:hint="default"/>
          <w:lang w:val="en-US" w:eastAsia="zh-CN"/>
        </w:rPr>
      </w:pPr>
      <w:r>
        <w:rPr>
          <w:rFonts w:hint="eastAsia"/>
          <w:lang w:val="en-US" w:eastAsia="zh-CN"/>
        </w:rPr>
        <w:t>[2] GB/T 14001-2016 环境管理体系 要求及使用指南</w:t>
      </w:r>
    </w:p>
    <w:p>
      <w:pPr>
        <w:pStyle w:val="21"/>
        <w:jc w:val="left"/>
        <w:rPr>
          <w:rFonts w:hint="eastAsia"/>
          <w:lang w:val="en-US" w:eastAsia="zh-CN"/>
        </w:rPr>
      </w:pPr>
      <w:r>
        <w:rPr>
          <w:rFonts w:hint="eastAsia"/>
          <w:lang w:val="en-US" w:eastAsia="zh-CN"/>
        </w:rPr>
        <w:t>[3] GB/T 45001-2020 职业健康安全管理体系 要求及使用指南</w:t>
      </w:r>
    </w:p>
    <w:p>
      <w:pPr>
        <w:pStyle w:val="21"/>
        <w:jc w:val="left"/>
        <w:rPr>
          <w:rFonts w:hint="default"/>
          <w:lang w:val="en-US" w:eastAsia="zh-CN"/>
        </w:rPr>
      </w:pPr>
      <w:r>
        <w:rPr>
          <w:rFonts w:hint="eastAsia"/>
          <w:lang w:val="en-US" w:eastAsia="zh-CN"/>
        </w:rPr>
        <w:t>[4] GB/T 24353-2009 风险管理 原则与实施指南</w:t>
      </w:r>
    </w:p>
    <w:p>
      <w:pPr>
        <w:pStyle w:val="21"/>
        <w:jc w:val="left"/>
        <w:rPr>
          <w:rFonts w:hint="eastAsia"/>
          <w:lang w:val="en-US" w:eastAsia="zh-CN"/>
        </w:rPr>
      </w:pPr>
      <w:r>
        <w:rPr>
          <w:rFonts w:hint="eastAsia"/>
          <w:lang w:val="en-US" w:eastAsia="zh-CN"/>
        </w:rPr>
        <w:t>[5] GB/T 23694-2013 风险管理 术语</w:t>
      </w:r>
    </w:p>
    <w:p>
      <w:pPr>
        <w:pStyle w:val="21"/>
        <w:jc w:val="left"/>
        <w:rPr>
          <w:rFonts w:hint="default"/>
          <w:lang w:val="en-US" w:eastAsia="zh-CN"/>
        </w:rPr>
      </w:pPr>
      <w:r>
        <w:rPr>
          <w:rFonts w:hint="eastAsia"/>
          <w:lang w:val="en-US" w:eastAsia="zh-CN"/>
        </w:rPr>
        <w:t>[6] GB/T 50430-2017 工程建设施工企业质量管理规范</w:t>
      </w:r>
    </w:p>
    <w:p>
      <w:pPr>
        <w:pStyle w:val="21"/>
        <w:jc w:val="left"/>
        <w:rPr>
          <w:rFonts w:hint="eastAsia"/>
          <w:lang w:val="en-US" w:eastAsia="zh-CN"/>
        </w:rPr>
      </w:pPr>
      <w:r>
        <w:rPr>
          <w:rFonts w:hint="eastAsia"/>
          <w:lang w:val="en-US" w:eastAsia="zh-CN"/>
        </w:rPr>
        <w:t>[7] GB/T 33000-2016 企业安全生产标准化基本规范</w:t>
      </w:r>
    </w:p>
    <w:p>
      <w:pPr>
        <w:pStyle w:val="21"/>
        <w:jc w:val="left"/>
        <w:rPr>
          <w:rFonts w:hint="default"/>
          <w:lang w:val="en-US" w:eastAsia="zh-CN"/>
        </w:rPr>
      </w:pPr>
      <w:r>
        <w:rPr>
          <w:rFonts w:hint="eastAsia"/>
          <w:lang w:val="en-US" w:eastAsia="zh-CN"/>
        </w:rPr>
        <w:t>[8] ISO 37301：2021 合规管理体系 要求及使用指南</w:t>
      </w:r>
    </w:p>
    <w:p>
      <w:pPr>
        <w:pStyle w:val="21"/>
        <w:jc w:val="left"/>
        <w:rPr>
          <w:rFonts w:hint="eastAsia"/>
          <w:lang w:val="en-US" w:eastAsia="zh-CN"/>
        </w:rPr>
      </w:pPr>
      <w:r>
        <w:rPr>
          <w:rFonts w:hint="eastAsia"/>
          <w:lang w:val="en-US" w:eastAsia="zh-CN"/>
        </w:rPr>
        <w:t>[9] AQ/T 9004-2019 企业安全文化建设导则</w:t>
      </w:r>
    </w:p>
    <w:p>
      <w:pPr>
        <w:pStyle w:val="21"/>
        <w:jc w:val="left"/>
        <w:rPr>
          <w:rFonts w:hint="default"/>
          <w:lang w:val="en-US" w:eastAsia="zh-CN"/>
        </w:rPr>
      </w:pPr>
      <w:r>
        <w:rPr>
          <w:rFonts w:hint="eastAsia"/>
          <w:lang w:val="en-US" w:eastAsia="zh-CN"/>
        </w:rPr>
        <w:t>[10] AQ/T 9011-2019 生产经营单位生产安全事故应急预案评估指南</w:t>
      </w:r>
    </w:p>
    <w:p>
      <w:pPr>
        <w:pStyle w:val="21"/>
        <w:jc w:val="left"/>
        <w:rPr>
          <w:rFonts w:hint="default"/>
          <w:lang w:val="en-US" w:eastAsia="zh-CN"/>
        </w:rPr>
      </w:pPr>
      <w:r>
        <w:rPr>
          <w:rFonts w:hint="eastAsia"/>
          <w:lang w:val="en-US" w:eastAsia="zh-CN"/>
        </w:rPr>
        <w:t>[11] DB37/T 2883-2016 生产安全事故隐患排查治理体系通则</w:t>
      </w:r>
    </w:p>
    <w:p>
      <w:pPr>
        <w:pStyle w:val="21"/>
        <w:jc w:val="left"/>
        <w:rPr>
          <w:rFonts w:hint="default"/>
          <w:lang w:val="en-US" w:eastAsia="zh-CN"/>
        </w:rPr>
      </w:pPr>
      <w:r>
        <w:rPr>
          <w:rFonts w:hint="eastAsia"/>
          <w:lang w:val="en-US" w:eastAsia="zh-CN"/>
        </w:rPr>
        <w:t>[12] 安全生产风险管理体系（2017年版）（中国南方电网有限责任公司 编著）</w:t>
      </w:r>
    </w:p>
    <w:p>
      <w:pPr>
        <w:pStyle w:val="21"/>
        <w:jc w:val="left"/>
        <w:rPr>
          <w:rFonts w:hint="default"/>
          <w:lang w:val="en-US" w:eastAsia="zh-CN"/>
        </w:rPr>
      </w:pPr>
    </w:p>
    <w:p>
      <w:pPr>
        <w:pStyle w:val="21"/>
        <w:jc w:val="left"/>
        <w:rPr>
          <w:rFonts w:hint="default"/>
          <w:lang w:val="en-US" w:eastAsia="zh-CN"/>
        </w:rPr>
      </w:pPr>
    </w:p>
    <w:sectPr>
      <w:headerReference r:id="rId7" w:type="default"/>
      <w:footerReference r:id="rId8" w:type="default"/>
      <w:pgSz w:w="11906" w:h="16838"/>
      <w:pgMar w:top="567" w:right="1134" w:bottom="1134" w:left="1418" w:header="1418" w:footer="1134" w:gutter="0"/>
      <w:pgNumType w:fmt="decimal"/>
      <w:cols w:space="720" w:num="1"/>
      <w:formProt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S Mincho">
    <w:altName w:val="Yu Gothic UI"/>
    <w:panose1 w:val="02020609040205080304"/>
    <w:charset w:val="80"/>
    <w:family w:val="modern"/>
    <w:pitch w:val="default"/>
    <w:sig w:usb0="00000000" w:usb1="00000000" w:usb2="00000010" w:usb3="00000000" w:csb0="0002009F" w:csb1="00000000"/>
  </w:font>
  <w:font w:name="Yu Gothic UI">
    <w:panose1 w:val="020B0500000000000000"/>
    <w:charset w:val="80"/>
    <w:family w:val="auto"/>
    <w:pitch w:val="default"/>
    <w:sig w:usb0="E00002FF" w:usb1="2AC7FDFF" w:usb2="00000016" w:usb3="00000000" w:csb0="2002009F" w:csb1="00000000"/>
  </w:font>
  <w:font w:name="ËÎÌå">
    <w:altName w:val="Arial"/>
    <w:panose1 w:val="00000000000000000000"/>
    <w:charset w:val="00"/>
    <w:family w:val="swiss"/>
    <w:pitch w:val="default"/>
    <w:sig w:usb0="00000000" w:usb1="00000000" w:usb2="00000000" w:usb3="00000000" w:csb0="0000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1"/>
    </w:pPr>
    <w:r>
      <w:fldChar w:fldCharType="begin"/>
    </w:r>
    <w:r>
      <w:instrText xml:space="preserve"> PAGE  \* MERGEFORMAT </w:instrText>
    </w:r>
    <w:r>
      <w:fldChar w:fldCharType="separate"/>
    </w:r>
    <w:r>
      <w:t>II</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9"/>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89"/>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9"/>
    </w:pPr>
    <w:r>
      <w:rPr>
        <w:sz w:val="18"/>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89"/>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t>Q/</w:t>
    </w:r>
    <w:r>
      <w:rPr>
        <w:rFonts w:hint="eastAsia"/>
      </w:rPr>
      <w:t>GDW HNGF</w:t>
    </w:r>
    <w:r>
      <w:t xml:space="preserve"> 2XXX—</w:t>
    </w:r>
    <w:r>
      <w:rPr>
        <w:rFonts w:hint="eastAsia"/>
      </w:rPr>
      <w:t>2020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r>
      <w:rPr>
        <w:rFonts w:hint="eastAsia"/>
        <w:lang w:val="en-US" w:eastAsia="zh-CN"/>
      </w:rPr>
      <w:t>T/GZX 001-2021</w:t>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r>
      <w:rPr>
        <w:rFonts w:hint="eastAsia"/>
        <w:lang w:val="en-US" w:eastAsia="zh-CN"/>
      </w:rPr>
      <w:t>T/GZX 001-2021</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BF84544"/>
    <w:multiLevelType w:val="singleLevel"/>
    <w:tmpl w:val="8BF84544"/>
    <w:lvl w:ilvl="0" w:tentative="0">
      <w:start w:val="1"/>
      <w:numFmt w:val="lowerLetter"/>
      <w:suff w:val="nothing"/>
      <w:lvlText w:val="%1）"/>
      <w:lvlJc w:val="left"/>
    </w:lvl>
  </w:abstractNum>
  <w:abstractNum w:abstractNumId="1">
    <w:nsid w:val="92B2CC87"/>
    <w:multiLevelType w:val="singleLevel"/>
    <w:tmpl w:val="92B2CC87"/>
    <w:lvl w:ilvl="0" w:tentative="0">
      <w:start w:val="1"/>
      <w:numFmt w:val="lowerLetter"/>
      <w:suff w:val="nothing"/>
      <w:lvlText w:val="%1）"/>
      <w:lvlJc w:val="left"/>
    </w:lvl>
  </w:abstractNum>
  <w:abstractNum w:abstractNumId="2">
    <w:nsid w:val="938AFB91"/>
    <w:multiLevelType w:val="singleLevel"/>
    <w:tmpl w:val="938AFB91"/>
    <w:lvl w:ilvl="0" w:tentative="0">
      <w:start w:val="1"/>
      <w:numFmt w:val="lowerLetter"/>
      <w:suff w:val="nothing"/>
      <w:lvlText w:val="%1）"/>
      <w:lvlJc w:val="left"/>
    </w:lvl>
  </w:abstractNum>
  <w:abstractNum w:abstractNumId="3">
    <w:nsid w:val="A0A1A9C8"/>
    <w:multiLevelType w:val="singleLevel"/>
    <w:tmpl w:val="A0A1A9C8"/>
    <w:lvl w:ilvl="0" w:tentative="0">
      <w:start w:val="1"/>
      <w:numFmt w:val="lowerLetter"/>
      <w:suff w:val="nothing"/>
      <w:lvlText w:val="%1）"/>
      <w:lvlJc w:val="left"/>
    </w:lvl>
  </w:abstractNum>
  <w:abstractNum w:abstractNumId="4">
    <w:nsid w:val="A343A6E9"/>
    <w:multiLevelType w:val="singleLevel"/>
    <w:tmpl w:val="A343A6E9"/>
    <w:lvl w:ilvl="0" w:tentative="0">
      <w:start w:val="1"/>
      <w:numFmt w:val="lowerLetter"/>
      <w:suff w:val="nothing"/>
      <w:lvlText w:val="%1）"/>
      <w:lvlJc w:val="left"/>
    </w:lvl>
  </w:abstractNum>
  <w:abstractNum w:abstractNumId="5">
    <w:nsid w:val="A4CDA567"/>
    <w:multiLevelType w:val="singleLevel"/>
    <w:tmpl w:val="A4CDA567"/>
    <w:lvl w:ilvl="0" w:tentative="0">
      <w:start w:val="1"/>
      <w:numFmt w:val="lowerLetter"/>
      <w:suff w:val="nothing"/>
      <w:lvlText w:val="%1）"/>
      <w:lvlJc w:val="left"/>
    </w:lvl>
  </w:abstractNum>
  <w:abstractNum w:abstractNumId="6">
    <w:nsid w:val="A69E6B8B"/>
    <w:multiLevelType w:val="singleLevel"/>
    <w:tmpl w:val="A69E6B8B"/>
    <w:lvl w:ilvl="0" w:tentative="0">
      <w:start w:val="1"/>
      <w:numFmt w:val="lowerLetter"/>
      <w:suff w:val="nothing"/>
      <w:lvlText w:val="%1）"/>
      <w:lvlJc w:val="left"/>
    </w:lvl>
  </w:abstractNum>
  <w:abstractNum w:abstractNumId="7">
    <w:nsid w:val="AA78E869"/>
    <w:multiLevelType w:val="singleLevel"/>
    <w:tmpl w:val="AA78E869"/>
    <w:lvl w:ilvl="0" w:tentative="0">
      <w:start w:val="1"/>
      <w:numFmt w:val="lowerLetter"/>
      <w:suff w:val="nothing"/>
      <w:lvlText w:val="%1）"/>
      <w:lvlJc w:val="left"/>
    </w:lvl>
  </w:abstractNum>
  <w:abstractNum w:abstractNumId="8">
    <w:nsid w:val="AE25BB10"/>
    <w:multiLevelType w:val="singleLevel"/>
    <w:tmpl w:val="AE25BB10"/>
    <w:lvl w:ilvl="0" w:tentative="0">
      <w:start w:val="1"/>
      <w:numFmt w:val="lowerLetter"/>
      <w:suff w:val="nothing"/>
      <w:lvlText w:val="%1）"/>
      <w:lvlJc w:val="left"/>
    </w:lvl>
  </w:abstractNum>
  <w:abstractNum w:abstractNumId="9">
    <w:nsid w:val="B3A2764C"/>
    <w:multiLevelType w:val="singleLevel"/>
    <w:tmpl w:val="B3A2764C"/>
    <w:lvl w:ilvl="0" w:tentative="0">
      <w:start w:val="1"/>
      <w:numFmt w:val="lowerLetter"/>
      <w:suff w:val="nothing"/>
      <w:lvlText w:val="%1）"/>
      <w:lvlJc w:val="left"/>
    </w:lvl>
  </w:abstractNum>
  <w:abstractNum w:abstractNumId="10">
    <w:nsid w:val="B6D9775E"/>
    <w:multiLevelType w:val="multilevel"/>
    <w:tmpl w:val="B6D9775E"/>
    <w:lvl w:ilvl="0" w:tentative="0">
      <w:start w:val="1"/>
      <w:numFmt w:val="lowerLetter"/>
      <w:suff w:val="nothing"/>
      <w:lvlText w:val="%1）"/>
      <w:lvlJc w:val="left"/>
    </w:lvl>
    <w:lvl w:ilvl="1" w:tentative="0">
      <w:start w:val="1"/>
      <w:numFmt w:val="lowerLetter"/>
      <w:lvlText w:val="%2)"/>
      <w:lvlJc w:val="left"/>
      <w:pPr>
        <w:tabs>
          <w:tab w:val="left" w:pos="840"/>
        </w:tabs>
        <w:ind w:left="840" w:leftChars="0" w:hanging="420" w:firstLineChars="0"/>
      </w:pPr>
      <w:rPr>
        <w:rFonts w:hint="default"/>
      </w:rPr>
    </w:lvl>
    <w:lvl w:ilvl="2" w:tentative="0">
      <w:start w:val="1"/>
      <w:numFmt w:val="lowerRoman"/>
      <w:lvlText w:val="%3."/>
      <w:lvlJc w:val="left"/>
      <w:pPr>
        <w:tabs>
          <w:tab w:val="left" w:pos="1260"/>
        </w:tabs>
        <w:ind w:left="1260" w:leftChars="0" w:hanging="420" w:firstLineChars="0"/>
      </w:pPr>
      <w:rPr>
        <w:rFonts w:hint="default"/>
      </w:rPr>
    </w:lvl>
    <w:lvl w:ilvl="3" w:tentative="0">
      <w:start w:val="1"/>
      <w:numFmt w:val="decimal"/>
      <w:lvlText w:val="%4."/>
      <w:lvlJc w:val="left"/>
      <w:pPr>
        <w:tabs>
          <w:tab w:val="left" w:pos="1680"/>
        </w:tabs>
        <w:ind w:left="1680" w:leftChars="0" w:hanging="420" w:firstLineChars="0"/>
      </w:pPr>
      <w:rPr>
        <w:rFonts w:hint="default"/>
      </w:rPr>
    </w:lvl>
    <w:lvl w:ilvl="4" w:tentative="0">
      <w:start w:val="1"/>
      <w:numFmt w:val="lowerLetter"/>
      <w:lvlText w:val="%5)"/>
      <w:lvlJc w:val="left"/>
      <w:pPr>
        <w:tabs>
          <w:tab w:val="left" w:pos="2100"/>
        </w:tabs>
        <w:ind w:left="2100" w:leftChars="0" w:hanging="420" w:firstLineChars="0"/>
      </w:pPr>
      <w:rPr>
        <w:rFonts w:hint="default"/>
      </w:rPr>
    </w:lvl>
    <w:lvl w:ilvl="5" w:tentative="0">
      <w:start w:val="1"/>
      <w:numFmt w:val="lowerRoman"/>
      <w:lvlText w:val="%6."/>
      <w:lvlJc w:val="left"/>
      <w:pPr>
        <w:tabs>
          <w:tab w:val="left" w:pos="2520"/>
        </w:tabs>
        <w:ind w:left="2520" w:leftChars="0" w:hanging="420" w:firstLineChars="0"/>
      </w:pPr>
      <w:rPr>
        <w:rFonts w:hint="default"/>
      </w:rPr>
    </w:lvl>
    <w:lvl w:ilvl="6" w:tentative="0">
      <w:start w:val="1"/>
      <w:numFmt w:val="decimal"/>
      <w:lvlText w:val="%7."/>
      <w:lvlJc w:val="left"/>
      <w:pPr>
        <w:tabs>
          <w:tab w:val="left" w:pos="2940"/>
        </w:tabs>
        <w:ind w:left="2940" w:leftChars="0" w:hanging="420" w:firstLineChars="0"/>
      </w:pPr>
      <w:rPr>
        <w:rFonts w:hint="default"/>
      </w:rPr>
    </w:lvl>
    <w:lvl w:ilvl="7" w:tentative="0">
      <w:start w:val="1"/>
      <w:numFmt w:val="lowerLetter"/>
      <w:lvlText w:val="%8)"/>
      <w:lvlJc w:val="left"/>
      <w:pPr>
        <w:tabs>
          <w:tab w:val="left" w:pos="3360"/>
        </w:tabs>
        <w:ind w:left="3360" w:leftChars="0" w:hanging="420" w:firstLineChars="0"/>
      </w:pPr>
      <w:rPr>
        <w:rFonts w:hint="default"/>
      </w:rPr>
    </w:lvl>
    <w:lvl w:ilvl="8" w:tentative="0">
      <w:start w:val="1"/>
      <w:numFmt w:val="lowerRoman"/>
      <w:lvlText w:val="%9."/>
      <w:lvlJc w:val="left"/>
      <w:pPr>
        <w:tabs>
          <w:tab w:val="left" w:pos="3780"/>
        </w:tabs>
        <w:ind w:left="3780" w:leftChars="0" w:hanging="420" w:firstLineChars="0"/>
      </w:pPr>
      <w:rPr>
        <w:rFonts w:hint="default"/>
      </w:rPr>
    </w:lvl>
  </w:abstractNum>
  <w:abstractNum w:abstractNumId="11">
    <w:nsid w:val="B9BAF16D"/>
    <w:multiLevelType w:val="singleLevel"/>
    <w:tmpl w:val="B9BAF16D"/>
    <w:lvl w:ilvl="0" w:tentative="0">
      <w:start w:val="1"/>
      <w:numFmt w:val="lowerLetter"/>
      <w:suff w:val="nothing"/>
      <w:lvlText w:val="%1）"/>
      <w:lvlJc w:val="left"/>
    </w:lvl>
  </w:abstractNum>
  <w:abstractNum w:abstractNumId="12">
    <w:nsid w:val="BA1176CE"/>
    <w:multiLevelType w:val="singleLevel"/>
    <w:tmpl w:val="BA1176CE"/>
    <w:lvl w:ilvl="0" w:tentative="0">
      <w:start w:val="1"/>
      <w:numFmt w:val="lowerLetter"/>
      <w:suff w:val="nothing"/>
      <w:lvlText w:val="%1）"/>
      <w:lvlJc w:val="left"/>
    </w:lvl>
  </w:abstractNum>
  <w:abstractNum w:abstractNumId="13">
    <w:nsid w:val="BC68FD8E"/>
    <w:multiLevelType w:val="singleLevel"/>
    <w:tmpl w:val="BC68FD8E"/>
    <w:lvl w:ilvl="0" w:tentative="0">
      <w:start w:val="1"/>
      <w:numFmt w:val="lowerLetter"/>
      <w:suff w:val="nothing"/>
      <w:lvlText w:val="%1）"/>
      <w:lvlJc w:val="left"/>
    </w:lvl>
  </w:abstractNum>
  <w:abstractNum w:abstractNumId="14">
    <w:nsid w:val="C17BA4E0"/>
    <w:multiLevelType w:val="singleLevel"/>
    <w:tmpl w:val="C17BA4E0"/>
    <w:lvl w:ilvl="0" w:tentative="0">
      <w:start w:val="1"/>
      <w:numFmt w:val="lowerLetter"/>
      <w:suff w:val="nothing"/>
      <w:lvlText w:val="%1）"/>
      <w:lvlJc w:val="left"/>
    </w:lvl>
  </w:abstractNum>
  <w:abstractNum w:abstractNumId="15">
    <w:nsid w:val="C21241EB"/>
    <w:multiLevelType w:val="singleLevel"/>
    <w:tmpl w:val="C21241EB"/>
    <w:lvl w:ilvl="0" w:tentative="0">
      <w:start w:val="1"/>
      <w:numFmt w:val="lowerLetter"/>
      <w:suff w:val="nothing"/>
      <w:lvlText w:val="%1）"/>
      <w:lvlJc w:val="left"/>
    </w:lvl>
  </w:abstractNum>
  <w:abstractNum w:abstractNumId="16">
    <w:nsid w:val="C3A79325"/>
    <w:multiLevelType w:val="singleLevel"/>
    <w:tmpl w:val="C3A79325"/>
    <w:lvl w:ilvl="0" w:tentative="0">
      <w:start w:val="1"/>
      <w:numFmt w:val="lowerLetter"/>
      <w:suff w:val="nothing"/>
      <w:lvlText w:val="%1）"/>
      <w:lvlJc w:val="left"/>
    </w:lvl>
  </w:abstractNum>
  <w:abstractNum w:abstractNumId="17">
    <w:nsid w:val="CB0A15DA"/>
    <w:multiLevelType w:val="singleLevel"/>
    <w:tmpl w:val="CB0A15DA"/>
    <w:lvl w:ilvl="0" w:tentative="0">
      <w:start w:val="1"/>
      <w:numFmt w:val="lowerLetter"/>
      <w:suff w:val="nothing"/>
      <w:lvlText w:val="%1）"/>
      <w:lvlJc w:val="left"/>
    </w:lvl>
  </w:abstractNum>
  <w:abstractNum w:abstractNumId="18">
    <w:nsid w:val="CD4C2DEE"/>
    <w:multiLevelType w:val="singleLevel"/>
    <w:tmpl w:val="CD4C2DEE"/>
    <w:lvl w:ilvl="0" w:tentative="0">
      <w:start w:val="1"/>
      <w:numFmt w:val="lowerLetter"/>
      <w:suff w:val="nothing"/>
      <w:lvlText w:val="%1）"/>
      <w:lvlJc w:val="left"/>
    </w:lvl>
  </w:abstractNum>
  <w:abstractNum w:abstractNumId="19">
    <w:nsid w:val="CD8995DA"/>
    <w:multiLevelType w:val="singleLevel"/>
    <w:tmpl w:val="CD8995DA"/>
    <w:lvl w:ilvl="0" w:tentative="0">
      <w:start w:val="1"/>
      <w:numFmt w:val="lowerLetter"/>
      <w:suff w:val="nothing"/>
      <w:lvlText w:val="%1）"/>
      <w:lvlJc w:val="left"/>
    </w:lvl>
  </w:abstractNum>
  <w:abstractNum w:abstractNumId="20">
    <w:nsid w:val="D3DB8BDE"/>
    <w:multiLevelType w:val="singleLevel"/>
    <w:tmpl w:val="D3DB8BDE"/>
    <w:lvl w:ilvl="0" w:tentative="0">
      <w:start w:val="1"/>
      <w:numFmt w:val="lowerLetter"/>
      <w:suff w:val="nothing"/>
      <w:lvlText w:val="%1）"/>
      <w:lvlJc w:val="left"/>
    </w:lvl>
  </w:abstractNum>
  <w:abstractNum w:abstractNumId="21">
    <w:nsid w:val="D5859810"/>
    <w:multiLevelType w:val="singleLevel"/>
    <w:tmpl w:val="D5859810"/>
    <w:lvl w:ilvl="0" w:tentative="0">
      <w:start w:val="1"/>
      <w:numFmt w:val="lowerLetter"/>
      <w:suff w:val="nothing"/>
      <w:lvlText w:val="%1）"/>
      <w:lvlJc w:val="left"/>
    </w:lvl>
  </w:abstractNum>
  <w:abstractNum w:abstractNumId="22">
    <w:nsid w:val="D5B85C96"/>
    <w:multiLevelType w:val="singleLevel"/>
    <w:tmpl w:val="D5B85C96"/>
    <w:lvl w:ilvl="0" w:tentative="0">
      <w:start w:val="1"/>
      <w:numFmt w:val="lowerLetter"/>
      <w:suff w:val="nothing"/>
      <w:lvlText w:val="%1）"/>
      <w:lvlJc w:val="left"/>
    </w:lvl>
  </w:abstractNum>
  <w:abstractNum w:abstractNumId="23">
    <w:nsid w:val="DA1C6747"/>
    <w:multiLevelType w:val="singleLevel"/>
    <w:tmpl w:val="DA1C6747"/>
    <w:lvl w:ilvl="0" w:tentative="0">
      <w:start w:val="1"/>
      <w:numFmt w:val="lowerLetter"/>
      <w:suff w:val="nothing"/>
      <w:lvlText w:val="%1）"/>
      <w:lvlJc w:val="left"/>
    </w:lvl>
  </w:abstractNum>
  <w:abstractNum w:abstractNumId="24">
    <w:nsid w:val="DC75DCC7"/>
    <w:multiLevelType w:val="singleLevel"/>
    <w:tmpl w:val="DC75DCC7"/>
    <w:lvl w:ilvl="0" w:tentative="0">
      <w:start w:val="1"/>
      <w:numFmt w:val="lowerLetter"/>
      <w:suff w:val="nothing"/>
      <w:lvlText w:val="%1）"/>
      <w:lvlJc w:val="left"/>
    </w:lvl>
  </w:abstractNum>
  <w:abstractNum w:abstractNumId="25">
    <w:nsid w:val="E08239C6"/>
    <w:multiLevelType w:val="singleLevel"/>
    <w:tmpl w:val="E08239C6"/>
    <w:lvl w:ilvl="0" w:tentative="0">
      <w:start w:val="1"/>
      <w:numFmt w:val="lowerLetter"/>
      <w:suff w:val="nothing"/>
      <w:lvlText w:val="%1）"/>
      <w:lvlJc w:val="left"/>
    </w:lvl>
  </w:abstractNum>
  <w:abstractNum w:abstractNumId="26">
    <w:nsid w:val="E255AE11"/>
    <w:multiLevelType w:val="singleLevel"/>
    <w:tmpl w:val="E255AE11"/>
    <w:lvl w:ilvl="0" w:tentative="0">
      <w:start w:val="1"/>
      <w:numFmt w:val="lowerLetter"/>
      <w:suff w:val="nothing"/>
      <w:lvlText w:val="%1）"/>
      <w:lvlJc w:val="left"/>
    </w:lvl>
  </w:abstractNum>
  <w:abstractNum w:abstractNumId="27">
    <w:nsid w:val="E73C394C"/>
    <w:multiLevelType w:val="singleLevel"/>
    <w:tmpl w:val="E73C394C"/>
    <w:lvl w:ilvl="0" w:tentative="0">
      <w:start w:val="1"/>
      <w:numFmt w:val="lowerLetter"/>
      <w:suff w:val="nothing"/>
      <w:lvlText w:val="%1）"/>
      <w:lvlJc w:val="left"/>
    </w:lvl>
  </w:abstractNum>
  <w:abstractNum w:abstractNumId="28">
    <w:nsid w:val="F17BC592"/>
    <w:multiLevelType w:val="singleLevel"/>
    <w:tmpl w:val="F17BC592"/>
    <w:lvl w:ilvl="0" w:tentative="0">
      <w:start w:val="1"/>
      <w:numFmt w:val="lowerLetter"/>
      <w:suff w:val="nothing"/>
      <w:lvlText w:val="%1）"/>
      <w:lvlJc w:val="left"/>
    </w:lvl>
  </w:abstractNum>
  <w:abstractNum w:abstractNumId="29">
    <w:nsid w:val="F25D5B37"/>
    <w:multiLevelType w:val="singleLevel"/>
    <w:tmpl w:val="F25D5B37"/>
    <w:lvl w:ilvl="0" w:tentative="0">
      <w:start w:val="1"/>
      <w:numFmt w:val="lowerLetter"/>
      <w:suff w:val="nothing"/>
      <w:lvlText w:val="%1）"/>
      <w:lvlJc w:val="left"/>
    </w:lvl>
  </w:abstractNum>
  <w:abstractNum w:abstractNumId="30">
    <w:nsid w:val="F7DCFCEB"/>
    <w:multiLevelType w:val="singleLevel"/>
    <w:tmpl w:val="F7DCFCEB"/>
    <w:lvl w:ilvl="0" w:tentative="0">
      <w:start w:val="1"/>
      <w:numFmt w:val="lowerLetter"/>
      <w:suff w:val="nothing"/>
      <w:lvlText w:val="%1）"/>
      <w:lvlJc w:val="left"/>
    </w:lvl>
  </w:abstractNum>
  <w:abstractNum w:abstractNumId="31">
    <w:nsid w:val="FCA834A2"/>
    <w:multiLevelType w:val="singleLevel"/>
    <w:tmpl w:val="FCA834A2"/>
    <w:lvl w:ilvl="0" w:tentative="0">
      <w:start w:val="1"/>
      <w:numFmt w:val="lowerLetter"/>
      <w:suff w:val="nothing"/>
      <w:lvlText w:val="%1）"/>
      <w:lvlJc w:val="left"/>
    </w:lvl>
  </w:abstractNum>
  <w:abstractNum w:abstractNumId="32">
    <w:nsid w:val="FF104812"/>
    <w:multiLevelType w:val="singleLevel"/>
    <w:tmpl w:val="FF104812"/>
    <w:lvl w:ilvl="0" w:tentative="0">
      <w:start w:val="1"/>
      <w:numFmt w:val="lowerLetter"/>
      <w:suff w:val="nothing"/>
      <w:lvlText w:val="%1）"/>
      <w:lvlJc w:val="left"/>
    </w:lvl>
  </w:abstractNum>
  <w:abstractNum w:abstractNumId="33">
    <w:nsid w:val="013851E8"/>
    <w:multiLevelType w:val="singleLevel"/>
    <w:tmpl w:val="013851E8"/>
    <w:lvl w:ilvl="0" w:tentative="0">
      <w:start w:val="1"/>
      <w:numFmt w:val="lowerLetter"/>
      <w:suff w:val="nothing"/>
      <w:lvlText w:val="%1）"/>
      <w:lvlJc w:val="left"/>
    </w:lvl>
  </w:abstractNum>
  <w:abstractNum w:abstractNumId="34">
    <w:nsid w:val="03D1ACE2"/>
    <w:multiLevelType w:val="singleLevel"/>
    <w:tmpl w:val="03D1ACE2"/>
    <w:lvl w:ilvl="0" w:tentative="0">
      <w:start w:val="1"/>
      <w:numFmt w:val="lowerLetter"/>
      <w:suff w:val="nothing"/>
      <w:lvlText w:val="%1）"/>
      <w:lvlJc w:val="left"/>
    </w:lvl>
  </w:abstractNum>
  <w:abstractNum w:abstractNumId="35">
    <w:nsid w:val="04063D80"/>
    <w:multiLevelType w:val="singleLevel"/>
    <w:tmpl w:val="04063D80"/>
    <w:lvl w:ilvl="0" w:tentative="0">
      <w:start w:val="1"/>
      <w:numFmt w:val="lowerLetter"/>
      <w:suff w:val="nothing"/>
      <w:lvlText w:val="%1）"/>
      <w:lvlJc w:val="left"/>
    </w:lvl>
  </w:abstractNum>
  <w:abstractNum w:abstractNumId="36">
    <w:nsid w:val="079102AD"/>
    <w:multiLevelType w:val="multilevel"/>
    <w:tmpl w:val="079102AD"/>
    <w:lvl w:ilvl="0" w:tentative="0">
      <w:start w:val="1"/>
      <w:numFmt w:val="decimal"/>
      <w:pStyle w:val="85"/>
      <w:suff w:val="nothing"/>
      <w:lvlText w:val="注%1："/>
      <w:lvlJc w:val="left"/>
      <w:pPr>
        <w:ind w:left="811" w:hanging="448"/>
      </w:pPr>
      <w:rPr>
        <w:rFonts w:hint="eastAsia" w:ascii="黑体" w:eastAsia="黑体"/>
        <w:b w:val="0"/>
        <w:i w:val="0"/>
        <w:sz w:val="18"/>
        <w:lang w:val="en-US"/>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7">
    <w:nsid w:val="093C6778"/>
    <w:multiLevelType w:val="multilevel"/>
    <w:tmpl w:val="093C6778"/>
    <w:lvl w:ilvl="0" w:tentative="0">
      <w:start w:val="1"/>
      <w:numFmt w:val="decimal"/>
      <w:pStyle w:val="115"/>
      <w:suff w:val="nothing"/>
      <w:lvlText w:val="示例%1："/>
      <w:lvlJc w:val="left"/>
      <w:pPr>
        <w:ind w:left="0" w:firstLine="397"/>
      </w:pPr>
      <w:rPr>
        <w:rFonts w:hint="eastAsia" w:ascii="黑体" w:eastAsia="黑体"/>
        <w:sz w:val="18"/>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38">
    <w:nsid w:val="0AE367E9"/>
    <w:multiLevelType w:val="multilevel"/>
    <w:tmpl w:val="0AE367E9"/>
    <w:lvl w:ilvl="0" w:tentative="0">
      <w:start w:val="1"/>
      <w:numFmt w:val="none"/>
      <w:pStyle w:val="86"/>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39">
    <w:nsid w:val="0DDE2B46"/>
    <w:multiLevelType w:val="multilevel"/>
    <w:tmpl w:val="0DDE2B46"/>
    <w:lvl w:ilvl="0" w:tentative="0">
      <w:start w:val="1"/>
      <w:numFmt w:val="lowerLetter"/>
      <w:pStyle w:val="121"/>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40">
    <w:nsid w:val="1DBF583A"/>
    <w:multiLevelType w:val="multilevel"/>
    <w:tmpl w:val="1DBF583A"/>
    <w:lvl w:ilvl="0" w:tentative="0">
      <w:start w:val="1"/>
      <w:numFmt w:val="decimal"/>
      <w:pStyle w:val="84"/>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41">
    <w:nsid w:val="1FC91163"/>
    <w:multiLevelType w:val="multilevel"/>
    <w:tmpl w:val="1FC91163"/>
    <w:lvl w:ilvl="0" w:tentative="0">
      <w:start w:val="1"/>
      <w:numFmt w:val="decimal"/>
      <w:pStyle w:val="94"/>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51"/>
      <w:suff w:val="nothing"/>
      <w:lvlText w:val="%1.%2　"/>
      <w:lvlJc w:val="left"/>
      <w:pPr>
        <w:ind w:left="0" w:firstLine="0"/>
      </w:pPr>
      <w:rPr>
        <w:rFonts w:hint="eastAsia" w:ascii="黑体" w:hAnsi="Times New Roman" w:eastAsia="黑体" w:cs="Times New Roman"/>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tentative="0">
      <w:start w:val="1"/>
      <w:numFmt w:val="decimal"/>
      <w:pStyle w:val="50"/>
      <w:suff w:val="nothing"/>
      <w:lvlText w:val="%1.%2.%3　"/>
      <w:lvlJc w:val="left"/>
      <w:pPr>
        <w:ind w:left="0" w:firstLine="0"/>
      </w:pPr>
      <w:rPr>
        <w:rFonts w:hint="eastAsia" w:ascii="黑体" w:hAnsi="Times New Roman" w:eastAsia="黑体"/>
        <w:b w:val="0"/>
        <w:i w:val="0"/>
        <w:sz w:val="21"/>
      </w:rPr>
    </w:lvl>
    <w:lvl w:ilvl="3" w:tentative="0">
      <w:start w:val="1"/>
      <w:numFmt w:val="decimal"/>
      <w:pStyle w:val="49"/>
      <w:suff w:val="nothing"/>
      <w:lvlText w:val="%1.%2.%3.%4　"/>
      <w:lvlJc w:val="left"/>
      <w:pPr>
        <w:ind w:left="0" w:firstLine="0"/>
      </w:pPr>
      <w:rPr>
        <w:rFonts w:hint="eastAsia" w:ascii="黑体" w:hAnsi="Times New Roman" w:eastAsia="黑体"/>
        <w:b w:val="0"/>
        <w:i w:val="0"/>
        <w:sz w:val="21"/>
      </w:rPr>
    </w:lvl>
    <w:lvl w:ilvl="4" w:tentative="0">
      <w:start w:val="1"/>
      <w:numFmt w:val="decimal"/>
      <w:pStyle w:val="48"/>
      <w:suff w:val="nothing"/>
      <w:lvlText w:val="%1.%2.%3.%4.%5　"/>
      <w:lvlJc w:val="left"/>
      <w:pPr>
        <w:ind w:left="0" w:firstLine="0"/>
      </w:pPr>
      <w:rPr>
        <w:rFonts w:hint="eastAsia" w:ascii="黑体" w:hAnsi="Times New Roman" w:eastAsia="黑体"/>
        <w:b w:val="0"/>
        <w:i w:val="0"/>
        <w:sz w:val="21"/>
      </w:rPr>
    </w:lvl>
    <w:lvl w:ilvl="5" w:tentative="0">
      <w:start w:val="1"/>
      <w:numFmt w:val="decimal"/>
      <w:pStyle w:val="54"/>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42">
    <w:nsid w:val="1FFF2018"/>
    <w:multiLevelType w:val="singleLevel"/>
    <w:tmpl w:val="1FFF2018"/>
    <w:lvl w:ilvl="0" w:tentative="0">
      <w:start w:val="1"/>
      <w:numFmt w:val="lowerLetter"/>
      <w:suff w:val="nothing"/>
      <w:lvlText w:val="%1）"/>
      <w:lvlJc w:val="left"/>
    </w:lvl>
  </w:abstractNum>
  <w:abstractNum w:abstractNumId="43">
    <w:nsid w:val="23D96B16"/>
    <w:multiLevelType w:val="singleLevel"/>
    <w:tmpl w:val="23D96B16"/>
    <w:lvl w:ilvl="0" w:tentative="0">
      <w:start w:val="1"/>
      <w:numFmt w:val="lowerLetter"/>
      <w:suff w:val="nothing"/>
      <w:lvlText w:val="%1）"/>
      <w:lvlJc w:val="left"/>
    </w:lvl>
  </w:abstractNum>
  <w:abstractNum w:abstractNumId="44">
    <w:nsid w:val="265594F8"/>
    <w:multiLevelType w:val="singleLevel"/>
    <w:tmpl w:val="265594F8"/>
    <w:lvl w:ilvl="0" w:tentative="0">
      <w:start w:val="1"/>
      <w:numFmt w:val="lowerLetter"/>
      <w:suff w:val="nothing"/>
      <w:lvlText w:val="%1）"/>
      <w:lvlJc w:val="left"/>
    </w:lvl>
  </w:abstractNum>
  <w:abstractNum w:abstractNumId="45">
    <w:nsid w:val="2A57A604"/>
    <w:multiLevelType w:val="singleLevel"/>
    <w:tmpl w:val="2A57A604"/>
    <w:lvl w:ilvl="0" w:tentative="0">
      <w:start w:val="1"/>
      <w:numFmt w:val="lowerLetter"/>
      <w:suff w:val="nothing"/>
      <w:lvlText w:val="%1）"/>
      <w:lvlJc w:val="left"/>
    </w:lvl>
  </w:abstractNum>
  <w:abstractNum w:abstractNumId="46">
    <w:nsid w:val="2A8F7113"/>
    <w:multiLevelType w:val="multilevel"/>
    <w:tmpl w:val="2A8F7113"/>
    <w:lvl w:ilvl="0" w:tentative="0">
      <w:start w:val="1"/>
      <w:numFmt w:val="upperLetter"/>
      <w:pStyle w:val="61"/>
      <w:suff w:val="space"/>
      <w:lvlText w:val="%1"/>
      <w:lvlJc w:val="left"/>
      <w:pPr>
        <w:ind w:left="623" w:hanging="425"/>
      </w:pPr>
      <w:rPr>
        <w:rFonts w:hint="eastAsia"/>
      </w:rPr>
    </w:lvl>
    <w:lvl w:ilvl="1" w:tentative="0">
      <w:start w:val="1"/>
      <w:numFmt w:val="decimal"/>
      <w:pStyle w:val="118"/>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47">
    <w:nsid w:val="2C5917C3"/>
    <w:multiLevelType w:val="multilevel"/>
    <w:tmpl w:val="2C5917C3"/>
    <w:lvl w:ilvl="0" w:tentative="0">
      <w:start w:val="1"/>
      <w:numFmt w:val="none"/>
      <w:pStyle w:val="103"/>
      <w:suff w:val="nothing"/>
      <w:lvlText w:val="%1——"/>
      <w:lvlJc w:val="left"/>
      <w:pPr>
        <w:ind w:left="833" w:hanging="408"/>
      </w:pPr>
      <w:rPr>
        <w:rFonts w:hint="eastAsia"/>
      </w:rPr>
    </w:lvl>
    <w:lvl w:ilvl="1" w:tentative="0">
      <w:start w:val="1"/>
      <w:numFmt w:val="bullet"/>
      <w:pStyle w:val="52"/>
      <w:lvlText w:val=""/>
      <w:lvlJc w:val="left"/>
      <w:pPr>
        <w:tabs>
          <w:tab w:val="left" w:pos="760"/>
        </w:tabs>
        <w:ind w:left="1264" w:hanging="413"/>
      </w:pPr>
      <w:rPr>
        <w:rFonts w:hint="default" w:ascii="Symbol" w:hAnsi="Symbol"/>
        <w:color w:val="auto"/>
      </w:rPr>
    </w:lvl>
    <w:lvl w:ilvl="2" w:tentative="0">
      <w:start w:val="1"/>
      <w:numFmt w:val="bullet"/>
      <w:pStyle w:val="98"/>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48">
    <w:nsid w:val="2CAAFC6A"/>
    <w:multiLevelType w:val="singleLevel"/>
    <w:tmpl w:val="2CAAFC6A"/>
    <w:lvl w:ilvl="0" w:tentative="0">
      <w:start w:val="1"/>
      <w:numFmt w:val="lowerLetter"/>
      <w:suff w:val="nothing"/>
      <w:lvlText w:val="%1）"/>
      <w:lvlJc w:val="left"/>
    </w:lvl>
  </w:abstractNum>
  <w:abstractNum w:abstractNumId="49">
    <w:nsid w:val="2DEE6E67"/>
    <w:multiLevelType w:val="singleLevel"/>
    <w:tmpl w:val="2DEE6E67"/>
    <w:lvl w:ilvl="0" w:tentative="0">
      <w:start w:val="1"/>
      <w:numFmt w:val="lowerLetter"/>
      <w:suff w:val="nothing"/>
      <w:lvlText w:val="%1）"/>
      <w:lvlJc w:val="left"/>
    </w:lvl>
  </w:abstractNum>
  <w:abstractNum w:abstractNumId="50">
    <w:nsid w:val="2FE9A536"/>
    <w:multiLevelType w:val="singleLevel"/>
    <w:tmpl w:val="2FE9A536"/>
    <w:lvl w:ilvl="0" w:tentative="0">
      <w:start w:val="1"/>
      <w:numFmt w:val="lowerLetter"/>
      <w:suff w:val="nothing"/>
      <w:lvlText w:val="%1）"/>
      <w:lvlJc w:val="left"/>
    </w:lvl>
  </w:abstractNum>
  <w:abstractNum w:abstractNumId="51">
    <w:nsid w:val="384ACCDC"/>
    <w:multiLevelType w:val="singleLevel"/>
    <w:tmpl w:val="384ACCDC"/>
    <w:lvl w:ilvl="0" w:tentative="0">
      <w:start w:val="1"/>
      <w:numFmt w:val="lowerLetter"/>
      <w:suff w:val="nothing"/>
      <w:lvlText w:val="%1）"/>
      <w:lvlJc w:val="left"/>
    </w:lvl>
  </w:abstractNum>
  <w:abstractNum w:abstractNumId="52">
    <w:nsid w:val="3B6ECDD0"/>
    <w:multiLevelType w:val="singleLevel"/>
    <w:tmpl w:val="3B6ECDD0"/>
    <w:lvl w:ilvl="0" w:tentative="0">
      <w:start w:val="1"/>
      <w:numFmt w:val="lowerLetter"/>
      <w:suff w:val="nothing"/>
      <w:lvlText w:val="%1）"/>
      <w:lvlJc w:val="left"/>
    </w:lvl>
  </w:abstractNum>
  <w:abstractNum w:abstractNumId="53">
    <w:nsid w:val="3D733618"/>
    <w:multiLevelType w:val="multilevel"/>
    <w:tmpl w:val="3D733618"/>
    <w:lvl w:ilvl="0" w:tentative="0">
      <w:start w:val="1"/>
      <w:numFmt w:val="decimal"/>
      <w:pStyle w:val="22"/>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54">
    <w:nsid w:val="40FB927F"/>
    <w:multiLevelType w:val="singleLevel"/>
    <w:tmpl w:val="40FB927F"/>
    <w:lvl w:ilvl="0" w:tentative="0">
      <w:start w:val="1"/>
      <w:numFmt w:val="lowerLetter"/>
      <w:suff w:val="nothing"/>
      <w:lvlText w:val="%1）"/>
      <w:lvlJc w:val="left"/>
    </w:lvl>
  </w:abstractNum>
  <w:abstractNum w:abstractNumId="55">
    <w:nsid w:val="43459F66"/>
    <w:multiLevelType w:val="singleLevel"/>
    <w:tmpl w:val="43459F66"/>
    <w:lvl w:ilvl="0" w:tentative="0">
      <w:start w:val="1"/>
      <w:numFmt w:val="lowerLetter"/>
      <w:suff w:val="nothing"/>
      <w:lvlText w:val="%1）"/>
      <w:lvlJc w:val="left"/>
    </w:lvl>
  </w:abstractNum>
  <w:abstractNum w:abstractNumId="56">
    <w:nsid w:val="44C50F90"/>
    <w:multiLevelType w:val="multilevel"/>
    <w:tmpl w:val="44C50F90"/>
    <w:lvl w:ilvl="0" w:tentative="0">
      <w:start w:val="1"/>
      <w:numFmt w:val="lowerLetter"/>
      <w:pStyle w:val="77"/>
      <w:lvlText w:val="%1)"/>
      <w:lvlJc w:val="left"/>
      <w:pPr>
        <w:tabs>
          <w:tab w:val="left" w:pos="840"/>
        </w:tabs>
        <w:ind w:left="839" w:hanging="419"/>
      </w:pPr>
      <w:rPr>
        <w:rFonts w:hint="eastAsia" w:ascii="宋体" w:eastAsia="宋体"/>
        <w:b w:val="0"/>
        <w:i w:val="0"/>
        <w:sz w:val="21"/>
        <w:szCs w:val="21"/>
      </w:rPr>
    </w:lvl>
    <w:lvl w:ilvl="1" w:tentative="0">
      <w:start w:val="1"/>
      <w:numFmt w:val="decimal"/>
      <w:pStyle w:val="46"/>
      <w:lvlText w:val="%2)"/>
      <w:lvlJc w:val="left"/>
      <w:pPr>
        <w:tabs>
          <w:tab w:val="left" w:pos="1260"/>
        </w:tabs>
        <w:ind w:left="1259" w:hanging="419"/>
      </w:pPr>
      <w:rPr>
        <w:rFonts w:hint="eastAsia"/>
      </w:rPr>
    </w:lvl>
    <w:lvl w:ilvl="2" w:tentative="0">
      <w:start w:val="1"/>
      <w:numFmt w:val="decimal"/>
      <w:pStyle w:val="68"/>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57">
    <w:nsid w:val="4607A077"/>
    <w:multiLevelType w:val="singleLevel"/>
    <w:tmpl w:val="4607A077"/>
    <w:lvl w:ilvl="0" w:tentative="0">
      <w:start w:val="1"/>
      <w:numFmt w:val="lowerLetter"/>
      <w:suff w:val="nothing"/>
      <w:lvlText w:val="%1）"/>
      <w:lvlJc w:val="left"/>
    </w:lvl>
  </w:abstractNum>
  <w:abstractNum w:abstractNumId="58">
    <w:nsid w:val="462A70EE"/>
    <w:multiLevelType w:val="singleLevel"/>
    <w:tmpl w:val="462A70EE"/>
    <w:lvl w:ilvl="0" w:tentative="0">
      <w:start w:val="1"/>
      <w:numFmt w:val="lowerLetter"/>
      <w:suff w:val="nothing"/>
      <w:lvlText w:val="%1）"/>
      <w:lvlJc w:val="left"/>
    </w:lvl>
  </w:abstractNum>
  <w:abstractNum w:abstractNumId="59">
    <w:nsid w:val="4A1EC7DA"/>
    <w:multiLevelType w:val="singleLevel"/>
    <w:tmpl w:val="4A1EC7DA"/>
    <w:lvl w:ilvl="0" w:tentative="0">
      <w:start w:val="1"/>
      <w:numFmt w:val="lowerLetter"/>
      <w:suff w:val="nothing"/>
      <w:lvlText w:val="%1）"/>
      <w:lvlJc w:val="left"/>
    </w:lvl>
  </w:abstractNum>
  <w:abstractNum w:abstractNumId="60">
    <w:nsid w:val="4A521E1C"/>
    <w:multiLevelType w:val="singleLevel"/>
    <w:tmpl w:val="4A521E1C"/>
    <w:lvl w:ilvl="0" w:tentative="0">
      <w:start w:val="1"/>
      <w:numFmt w:val="lowerLetter"/>
      <w:suff w:val="nothing"/>
      <w:lvlText w:val="%1）"/>
      <w:lvlJc w:val="left"/>
    </w:lvl>
  </w:abstractNum>
  <w:abstractNum w:abstractNumId="61">
    <w:nsid w:val="4B733A5F"/>
    <w:multiLevelType w:val="multilevel"/>
    <w:tmpl w:val="4B733A5F"/>
    <w:lvl w:ilvl="0" w:tentative="0">
      <w:start w:val="1"/>
      <w:numFmt w:val="decimal"/>
      <w:pStyle w:val="93"/>
      <w:suff w:val="nothing"/>
      <w:lvlText w:val="示例%1："/>
      <w:lvlJc w:val="left"/>
      <w:pPr>
        <w:ind w:left="0" w:firstLine="363"/>
      </w:pPr>
      <w:rPr>
        <w:rFonts w:hint="eastAsia" w:ascii="黑体" w:hAnsi="Times New Roman" w:eastAsia="黑体"/>
        <w:b w:val="0"/>
        <w:i w:val="0"/>
        <w:sz w:val="18"/>
        <w:szCs w:val="18"/>
        <w:vertAlign w:val="baseline"/>
      </w:rPr>
    </w:lvl>
    <w:lvl w:ilvl="1" w:tentative="0">
      <w:start w:val="1"/>
      <w:numFmt w:val="none"/>
      <w:suff w:val="space"/>
      <w:lvlText w:val=""/>
      <w:lvlJc w:val="left"/>
      <w:pPr>
        <w:ind w:left="0" w:firstLine="0"/>
      </w:pPr>
      <w:rPr>
        <w:rFonts w:hint="eastAsia"/>
        <w:vertAlign w:val="baseline"/>
      </w:rPr>
    </w:lvl>
    <w:lvl w:ilvl="2" w:tentative="0">
      <w:start w:val="1"/>
      <w:numFmt w:val="decimal"/>
      <w:suff w:val="space"/>
      <w:lvlText w:val="2.2.%3"/>
      <w:lvlJc w:val="left"/>
      <w:pPr>
        <w:ind w:left="0" w:firstLine="0"/>
      </w:pPr>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abstractNum w:abstractNumId="62">
    <w:nsid w:val="4C6EB52A"/>
    <w:multiLevelType w:val="singleLevel"/>
    <w:tmpl w:val="4C6EB52A"/>
    <w:lvl w:ilvl="0" w:tentative="0">
      <w:start w:val="1"/>
      <w:numFmt w:val="lowerLetter"/>
      <w:suff w:val="nothing"/>
      <w:lvlText w:val="%1）"/>
      <w:lvlJc w:val="left"/>
    </w:lvl>
  </w:abstractNum>
  <w:abstractNum w:abstractNumId="63">
    <w:nsid w:val="4F6324F4"/>
    <w:multiLevelType w:val="singleLevel"/>
    <w:tmpl w:val="4F6324F4"/>
    <w:lvl w:ilvl="0" w:tentative="0">
      <w:start w:val="1"/>
      <w:numFmt w:val="lowerLetter"/>
      <w:suff w:val="nothing"/>
      <w:lvlText w:val="%1）"/>
      <w:lvlJc w:val="left"/>
    </w:lvl>
  </w:abstractNum>
  <w:abstractNum w:abstractNumId="64">
    <w:nsid w:val="50D7DB78"/>
    <w:multiLevelType w:val="singleLevel"/>
    <w:tmpl w:val="50D7DB78"/>
    <w:lvl w:ilvl="0" w:tentative="0">
      <w:start w:val="1"/>
      <w:numFmt w:val="lowerLetter"/>
      <w:suff w:val="nothing"/>
      <w:lvlText w:val="%1）"/>
      <w:lvlJc w:val="left"/>
    </w:lvl>
  </w:abstractNum>
  <w:abstractNum w:abstractNumId="65">
    <w:nsid w:val="530BB298"/>
    <w:multiLevelType w:val="singleLevel"/>
    <w:tmpl w:val="530BB298"/>
    <w:lvl w:ilvl="0" w:tentative="0">
      <w:start w:val="1"/>
      <w:numFmt w:val="lowerLetter"/>
      <w:suff w:val="nothing"/>
      <w:lvlText w:val="%1）"/>
      <w:lvlJc w:val="left"/>
    </w:lvl>
  </w:abstractNum>
  <w:abstractNum w:abstractNumId="66">
    <w:nsid w:val="557C2AF5"/>
    <w:multiLevelType w:val="multilevel"/>
    <w:tmpl w:val="557C2AF5"/>
    <w:lvl w:ilvl="0" w:tentative="0">
      <w:start w:val="1"/>
      <w:numFmt w:val="decimal"/>
      <w:pStyle w:val="123"/>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67">
    <w:nsid w:val="60B55DC2"/>
    <w:multiLevelType w:val="multilevel"/>
    <w:tmpl w:val="60B55DC2"/>
    <w:lvl w:ilvl="0" w:tentative="0">
      <w:start w:val="1"/>
      <w:numFmt w:val="upperLetter"/>
      <w:pStyle w:val="62"/>
      <w:lvlText w:val="%1"/>
      <w:lvlJc w:val="left"/>
      <w:pPr>
        <w:tabs>
          <w:tab w:val="left" w:pos="0"/>
        </w:tabs>
        <w:ind w:left="0" w:hanging="425"/>
      </w:pPr>
      <w:rPr>
        <w:rFonts w:hint="eastAsia"/>
      </w:rPr>
    </w:lvl>
    <w:lvl w:ilvl="1" w:tentative="0">
      <w:start w:val="1"/>
      <w:numFmt w:val="decimal"/>
      <w:pStyle w:val="113"/>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68">
    <w:nsid w:val="63E34D2C"/>
    <w:multiLevelType w:val="singleLevel"/>
    <w:tmpl w:val="63E34D2C"/>
    <w:lvl w:ilvl="0" w:tentative="0">
      <w:start w:val="1"/>
      <w:numFmt w:val="lowerLetter"/>
      <w:suff w:val="nothing"/>
      <w:lvlText w:val="%1）"/>
      <w:lvlJc w:val="left"/>
    </w:lvl>
  </w:abstractNum>
  <w:abstractNum w:abstractNumId="69">
    <w:nsid w:val="646260FA"/>
    <w:multiLevelType w:val="multilevel"/>
    <w:tmpl w:val="646260FA"/>
    <w:lvl w:ilvl="0" w:tentative="0">
      <w:start w:val="1"/>
      <w:numFmt w:val="decimal"/>
      <w:pStyle w:val="53"/>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70">
    <w:nsid w:val="657D3FBC"/>
    <w:multiLevelType w:val="multilevel"/>
    <w:tmpl w:val="657D3FBC"/>
    <w:lvl w:ilvl="0" w:tentative="0">
      <w:start w:val="1"/>
      <w:numFmt w:val="upperLetter"/>
      <w:pStyle w:val="40"/>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55"/>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74"/>
      <w:suff w:val="nothing"/>
      <w:lvlText w:val="%1.%2.%3　"/>
      <w:lvlJc w:val="left"/>
      <w:pPr>
        <w:ind w:left="0" w:firstLine="0"/>
      </w:pPr>
      <w:rPr>
        <w:rFonts w:hint="eastAsia" w:ascii="黑体" w:hAnsi="Times New Roman" w:eastAsia="黑体"/>
        <w:b w:val="0"/>
        <w:i w:val="0"/>
        <w:sz w:val="21"/>
      </w:rPr>
    </w:lvl>
    <w:lvl w:ilvl="3" w:tentative="0">
      <w:start w:val="1"/>
      <w:numFmt w:val="decimal"/>
      <w:pStyle w:val="79"/>
      <w:suff w:val="nothing"/>
      <w:lvlText w:val="%1.%2.%3.%4　"/>
      <w:lvlJc w:val="left"/>
      <w:pPr>
        <w:ind w:left="0" w:firstLine="0"/>
      </w:pPr>
      <w:rPr>
        <w:rFonts w:hint="eastAsia" w:ascii="黑体" w:hAnsi="Times New Roman" w:eastAsia="黑体"/>
        <w:b w:val="0"/>
        <w:i w:val="0"/>
        <w:sz w:val="21"/>
      </w:rPr>
    </w:lvl>
    <w:lvl w:ilvl="4" w:tentative="0">
      <w:start w:val="1"/>
      <w:numFmt w:val="decimal"/>
      <w:pStyle w:val="83"/>
      <w:suff w:val="nothing"/>
      <w:lvlText w:val="%1.%2.%3.%4.%5　"/>
      <w:lvlJc w:val="left"/>
      <w:pPr>
        <w:ind w:left="0" w:firstLine="0"/>
      </w:pPr>
      <w:rPr>
        <w:rFonts w:hint="eastAsia" w:ascii="黑体" w:hAnsi="Times New Roman" w:eastAsia="黑体"/>
        <w:b w:val="0"/>
        <w:i w:val="0"/>
        <w:sz w:val="21"/>
      </w:rPr>
    </w:lvl>
    <w:lvl w:ilvl="5" w:tentative="0">
      <w:start w:val="1"/>
      <w:numFmt w:val="decimal"/>
      <w:pStyle w:val="82"/>
      <w:suff w:val="nothing"/>
      <w:lvlText w:val="%1.%2.%3.%4.%5.%6　"/>
      <w:lvlJc w:val="left"/>
      <w:pPr>
        <w:ind w:left="0" w:firstLine="0"/>
      </w:pPr>
      <w:rPr>
        <w:rFonts w:hint="eastAsia" w:ascii="黑体" w:hAnsi="Times New Roman" w:eastAsia="黑体"/>
        <w:b w:val="0"/>
        <w:i w:val="0"/>
        <w:sz w:val="21"/>
      </w:rPr>
    </w:lvl>
    <w:lvl w:ilvl="6" w:tentative="0">
      <w:start w:val="1"/>
      <w:numFmt w:val="decimal"/>
      <w:pStyle w:val="91"/>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71">
    <w:nsid w:val="691F2088"/>
    <w:multiLevelType w:val="singleLevel"/>
    <w:tmpl w:val="691F2088"/>
    <w:lvl w:ilvl="0" w:tentative="0">
      <w:start w:val="1"/>
      <w:numFmt w:val="lowerLetter"/>
      <w:suff w:val="nothing"/>
      <w:lvlText w:val="%1）"/>
      <w:lvlJc w:val="left"/>
    </w:lvl>
  </w:abstractNum>
  <w:abstractNum w:abstractNumId="72">
    <w:nsid w:val="6A1514E4"/>
    <w:multiLevelType w:val="singleLevel"/>
    <w:tmpl w:val="6A1514E4"/>
    <w:lvl w:ilvl="0" w:tentative="0">
      <w:start w:val="1"/>
      <w:numFmt w:val="lowerLetter"/>
      <w:suff w:val="nothing"/>
      <w:lvlText w:val="%1）"/>
      <w:lvlJc w:val="left"/>
    </w:lvl>
  </w:abstractNum>
  <w:abstractNum w:abstractNumId="73">
    <w:nsid w:val="6A6BD693"/>
    <w:multiLevelType w:val="singleLevel"/>
    <w:tmpl w:val="6A6BD693"/>
    <w:lvl w:ilvl="0" w:tentative="0">
      <w:start w:val="1"/>
      <w:numFmt w:val="lowerLetter"/>
      <w:suff w:val="nothing"/>
      <w:lvlText w:val="%1）"/>
      <w:lvlJc w:val="left"/>
    </w:lvl>
  </w:abstractNum>
  <w:abstractNum w:abstractNumId="74">
    <w:nsid w:val="6D6C07CD"/>
    <w:multiLevelType w:val="multilevel"/>
    <w:tmpl w:val="6D6C07CD"/>
    <w:lvl w:ilvl="0" w:tentative="0">
      <w:start w:val="1"/>
      <w:numFmt w:val="lowerLetter"/>
      <w:pStyle w:val="90"/>
      <w:lvlText w:val="%1)"/>
      <w:lvlJc w:val="left"/>
      <w:pPr>
        <w:tabs>
          <w:tab w:val="left" w:pos="839"/>
        </w:tabs>
        <w:ind w:left="839" w:hanging="419"/>
      </w:pPr>
      <w:rPr>
        <w:rFonts w:hint="eastAsia" w:ascii="宋体" w:eastAsia="宋体"/>
        <w:b w:val="0"/>
        <w:i w:val="0"/>
        <w:sz w:val="21"/>
      </w:rPr>
    </w:lvl>
    <w:lvl w:ilvl="1" w:tentative="0">
      <w:start w:val="1"/>
      <w:numFmt w:val="decimal"/>
      <w:pStyle w:val="60"/>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75">
    <w:nsid w:val="6DBF04F4"/>
    <w:multiLevelType w:val="multilevel"/>
    <w:tmpl w:val="6DBF04F4"/>
    <w:lvl w:ilvl="0" w:tentative="0">
      <w:start w:val="1"/>
      <w:numFmt w:val="none"/>
      <w:pStyle w:val="41"/>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76">
    <w:nsid w:val="71E52568"/>
    <w:multiLevelType w:val="singleLevel"/>
    <w:tmpl w:val="71E52568"/>
    <w:lvl w:ilvl="0" w:tentative="0">
      <w:start w:val="1"/>
      <w:numFmt w:val="lowerLetter"/>
      <w:suff w:val="nothing"/>
      <w:lvlText w:val="%1）"/>
      <w:lvlJc w:val="left"/>
    </w:lvl>
  </w:abstractNum>
  <w:abstractNum w:abstractNumId="77">
    <w:nsid w:val="7789E750"/>
    <w:multiLevelType w:val="singleLevel"/>
    <w:tmpl w:val="7789E750"/>
    <w:lvl w:ilvl="0" w:tentative="0">
      <w:start w:val="1"/>
      <w:numFmt w:val="lowerLetter"/>
      <w:suff w:val="nothing"/>
      <w:lvlText w:val="%1）"/>
      <w:lvlJc w:val="left"/>
    </w:lvl>
  </w:abstractNum>
  <w:abstractNum w:abstractNumId="78">
    <w:nsid w:val="7CFC6F83"/>
    <w:multiLevelType w:val="singleLevel"/>
    <w:tmpl w:val="7CFC6F83"/>
    <w:lvl w:ilvl="0" w:tentative="0">
      <w:start w:val="1"/>
      <w:numFmt w:val="lowerLetter"/>
      <w:suff w:val="nothing"/>
      <w:lvlText w:val="%1）"/>
      <w:lvlJc w:val="left"/>
    </w:lvl>
  </w:abstractNum>
  <w:abstractNum w:abstractNumId="79">
    <w:nsid w:val="7DDB3D8C"/>
    <w:multiLevelType w:val="singleLevel"/>
    <w:tmpl w:val="7DDB3D8C"/>
    <w:lvl w:ilvl="0" w:tentative="0">
      <w:start w:val="1"/>
      <w:numFmt w:val="lowerLetter"/>
      <w:suff w:val="nothing"/>
      <w:lvlText w:val="%1）"/>
      <w:lvlJc w:val="left"/>
    </w:lvl>
  </w:abstractNum>
  <w:num w:numId="1">
    <w:abstractNumId w:val="53"/>
  </w:num>
  <w:num w:numId="2">
    <w:abstractNumId w:val="70"/>
  </w:num>
  <w:num w:numId="3">
    <w:abstractNumId w:val="75"/>
  </w:num>
  <w:num w:numId="4">
    <w:abstractNumId w:val="56"/>
  </w:num>
  <w:num w:numId="5">
    <w:abstractNumId w:val="41"/>
  </w:num>
  <w:num w:numId="6">
    <w:abstractNumId w:val="47"/>
  </w:num>
  <w:num w:numId="7">
    <w:abstractNumId w:val="69"/>
  </w:num>
  <w:num w:numId="8">
    <w:abstractNumId w:val="74"/>
  </w:num>
  <w:num w:numId="9">
    <w:abstractNumId w:val="46"/>
  </w:num>
  <w:num w:numId="10">
    <w:abstractNumId w:val="67"/>
  </w:num>
  <w:num w:numId="11">
    <w:abstractNumId w:val="40"/>
  </w:num>
  <w:num w:numId="12">
    <w:abstractNumId w:val="36"/>
  </w:num>
  <w:num w:numId="13">
    <w:abstractNumId w:val="38"/>
  </w:num>
  <w:num w:numId="14">
    <w:abstractNumId w:val="61"/>
  </w:num>
  <w:num w:numId="15">
    <w:abstractNumId w:val="37"/>
  </w:num>
  <w:num w:numId="16">
    <w:abstractNumId w:val="39"/>
  </w:num>
  <w:num w:numId="17">
    <w:abstractNumId w:val="66"/>
  </w:num>
  <w:num w:numId="18">
    <w:abstractNumId w:val="1"/>
  </w:num>
  <w:num w:numId="19">
    <w:abstractNumId w:val="11"/>
  </w:num>
  <w:num w:numId="20">
    <w:abstractNumId w:val="72"/>
  </w:num>
  <w:num w:numId="21">
    <w:abstractNumId w:val="30"/>
  </w:num>
  <w:num w:numId="22">
    <w:abstractNumId w:val="79"/>
  </w:num>
  <w:num w:numId="23">
    <w:abstractNumId w:val="14"/>
  </w:num>
  <w:num w:numId="24">
    <w:abstractNumId w:val="68"/>
  </w:num>
  <w:num w:numId="25">
    <w:abstractNumId w:val="45"/>
  </w:num>
  <w:num w:numId="26">
    <w:abstractNumId w:val="13"/>
  </w:num>
  <w:num w:numId="27">
    <w:abstractNumId w:val="8"/>
  </w:num>
  <w:num w:numId="28">
    <w:abstractNumId w:val="25"/>
  </w:num>
  <w:num w:numId="29">
    <w:abstractNumId w:val="19"/>
  </w:num>
  <w:num w:numId="30">
    <w:abstractNumId w:val="50"/>
  </w:num>
  <w:num w:numId="31">
    <w:abstractNumId w:val="10"/>
  </w:num>
  <w:num w:numId="32">
    <w:abstractNumId w:val="17"/>
  </w:num>
  <w:num w:numId="33">
    <w:abstractNumId w:val="44"/>
  </w:num>
  <w:num w:numId="34">
    <w:abstractNumId w:val="4"/>
  </w:num>
  <w:num w:numId="35">
    <w:abstractNumId w:val="78"/>
  </w:num>
  <w:num w:numId="36">
    <w:abstractNumId w:val="24"/>
  </w:num>
  <w:num w:numId="37">
    <w:abstractNumId w:val="33"/>
  </w:num>
  <w:num w:numId="38">
    <w:abstractNumId w:val="32"/>
  </w:num>
  <w:num w:numId="39">
    <w:abstractNumId w:val="49"/>
  </w:num>
  <w:num w:numId="40">
    <w:abstractNumId w:val="3"/>
  </w:num>
  <w:num w:numId="41">
    <w:abstractNumId w:val="34"/>
  </w:num>
  <w:num w:numId="42">
    <w:abstractNumId w:val="0"/>
  </w:num>
  <w:num w:numId="43">
    <w:abstractNumId w:val="77"/>
  </w:num>
  <w:num w:numId="44">
    <w:abstractNumId w:val="54"/>
  </w:num>
  <w:num w:numId="45">
    <w:abstractNumId w:val="55"/>
  </w:num>
  <w:num w:numId="46">
    <w:abstractNumId w:val="9"/>
  </w:num>
  <w:num w:numId="47">
    <w:abstractNumId w:val="63"/>
  </w:num>
  <w:num w:numId="48">
    <w:abstractNumId w:val="21"/>
  </w:num>
  <w:num w:numId="49">
    <w:abstractNumId w:val="29"/>
  </w:num>
  <w:num w:numId="50">
    <w:abstractNumId w:val="23"/>
  </w:num>
  <w:num w:numId="51">
    <w:abstractNumId w:val="31"/>
  </w:num>
  <w:num w:numId="52">
    <w:abstractNumId w:val="7"/>
  </w:num>
  <w:num w:numId="53">
    <w:abstractNumId w:val="2"/>
  </w:num>
  <w:num w:numId="54">
    <w:abstractNumId w:val="73"/>
  </w:num>
  <w:num w:numId="55">
    <w:abstractNumId w:val="71"/>
  </w:num>
  <w:num w:numId="56">
    <w:abstractNumId w:val="58"/>
  </w:num>
  <w:num w:numId="57">
    <w:abstractNumId w:val="35"/>
  </w:num>
  <w:num w:numId="58">
    <w:abstractNumId w:val="43"/>
  </w:num>
  <w:num w:numId="59">
    <w:abstractNumId w:val="65"/>
  </w:num>
  <w:num w:numId="60">
    <w:abstractNumId w:val="59"/>
  </w:num>
  <w:num w:numId="61">
    <w:abstractNumId w:val="60"/>
  </w:num>
  <w:num w:numId="62">
    <w:abstractNumId w:val="28"/>
  </w:num>
  <w:num w:numId="63">
    <w:abstractNumId w:val="62"/>
  </w:num>
  <w:num w:numId="64">
    <w:abstractNumId w:val="42"/>
  </w:num>
  <w:num w:numId="65">
    <w:abstractNumId w:val="5"/>
  </w:num>
  <w:num w:numId="66">
    <w:abstractNumId w:val="48"/>
  </w:num>
  <w:num w:numId="67">
    <w:abstractNumId w:val="22"/>
  </w:num>
  <w:num w:numId="68">
    <w:abstractNumId w:val="26"/>
  </w:num>
  <w:num w:numId="69">
    <w:abstractNumId w:val="18"/>
  </w:num>
  <w:num w:numId="70">
    <w:abstractNumId w:val="16"/>
  </w:num>
  <w:num w:numId="71">
    <w:abstractNumId w:val="20"/>
  </w:num>
  <w:num w:numId="72">
    <w:abstractNumId w:val="76"/>
  </w:num>
  <w:num w:numId="73">
    <w:abstractNumId w:val="27"/>
  </w:num>
  <w:num w:numId="74">
    <w:abstractNumId w:val="52"/>
  </w:num>
  <w:num w:numId="75">
    <w:abstractNumId w:val="15"/>
  </w:num>
  <w:num w:numId="76">
    <w:abstractNumId w:val="12"/>
  </w:num>
  <w:num w:numId="77">
    <w:abstractNumId w:val="64"/>
  </w:num>
  <w:num w:numId="78">
    <w:abstractNumId w:val="57"/>
  </w:num>
  <w:num w:numId="79">
    <w:abstractNumId w:val="51"/>
  </w:num>
  <w:num w:numId="8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removePersonalInformation/>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731F22"/>
    <w:rsid w:val="00000244"/>
    <w:rsid w:val="0000185F"/>
    <w:rsid w:val="0000586F"/>
    <w:rsid w:val="00013D86"/>
    <w:rsid w:val="00013E02"/>
    <w:rsid w:val="0002143C"/>
    <w:rsid w:val="00025A65"/>
    <w:rsid w:val="00026C31"/>
    <w:rsid w:val="00027280"/>
    <w:rsid w:val="000320A7"/>
    <w:rsid w:val="00035925"/>
    <w:rsid w:val="00067CDF"/>
    <w:rsid w:val="00074FBE"/>
    <w:rsid w:val="00083A09"/>
    <w:rsid w:val="0009005E"/>
    <w:rsid w:val="00092857"/>
    <w:rsid w:val="000A20A9"/>
    <w:rsid w:val="000A48B1"/>
    <w:rsid w:val="000B3143"/>
    <w:rsid w:val="000C6B05"/>
    <w:rsid w:val="000C6DD6"/>
    <w:rsid w:val="000C73D4"/>
    <w:rsid w:val="000D3D4C"/>
    <w:rsid w:val="000D4F51"/>
    <w:rsid w:val="000D718B"/>
    <w:rsid w:val="000E0C46"/>
    <w:rsid w:val="000F030C"/>
    <w:rsid w:val="000F129C"/>
    <w:rsid w:val="001056DE"/>
    <w:rsid w:val="001124C0"/>
    <w:rsid w:val="0013175F"/>
    <w:rsid w:val="001512B4"/>
    <w:rsid w:val="001620A5"/>
    <w:rsid w:val="00164E53"/>
    <w:rsid w:val="0016699D"/>
    <w:rsid w:val="00175159"/>
    <w:rsid w:val="00176208"/>
    <w:rsid w:val="0018211B"/>
    <w:rsid w:val="001840D3"/>
    <w:rsid w:val="001900F8"/>
    <w:rsid w:val="00191258"/>
    <w:rsid w:val="00192680"/>
    <w:rsid w:val="00193037"/>
    <w:rsid w:val="00193A2C"/>
    <w:rsid w:val="001A288E"/>
    <w:rsid w:val="001B6DC2"/>
    <w:rsid w:val="001C149C"/>
    <w:rsid w:val="001C21AC"/>
    <w:rsid w:val="001C47BA"/>
    <w:rsid w:val="001C59EA"/>
    <w:rsid w:val="001D406C"/>
    <w:rsid w:val="001D41EE"/>
    <w:rsid w:val="001E0380"/>
    <w:rsid w:val="001E13B1"/>
    <w:rsid w:val="001F3A19"/>
    <w:rsid w:val="00234467"/>
    <w:rsid w:val="00237D8D"/>
    <w:rsid w:val="00241DA2"/>
    <w:rsid w:val="00247FEE"/>
    <w:rsid w:val="00250E7D"/>
    <w:rsid w:val="002565D5"/>
    <w:rsid w:val="002622C0"/>
    <w:rsid w:val="002778AE"/>
    <w:rsid w:val="0028269A"/>
    <w:rsid w:val="00283590"/>
    <w:rsid w:val="00286973"/>
    <w:rsid w:val="00294E70"/>
    <w:rsid w:val="002A1924"/>
    <w:rsid w:val="002A7420"/>
    <w:rsid w:val="002B0F12"/>
    <w:rsid w:val="002B1308"/>
    <w:rsid w:val="002B4554"/>
    <w:rsid w:val="002C72D8"/>
    <w:rsid w:val="002D11FA"/>
    <w:rsid w:val="002D3947"/>
    <w:rsid w:val="002E0DDF"/>
    <w:rsid w:val="002E2906"/>
    <w:rsid w:val="002E5635"/>
    <w:rsid w:val="002E64C3"/>
    <w:rsid w:val="002E6A2C"/>
    <w:rsid w:val="002F1D8C"/>
    <w:rsid w:val="002F21DA"/>
    <w:rsid w:val="00301F39"/>
    <w:rsid w:val="00325926"/>
    <w:rsid w:val="00327A8A"/>
    <w:rsid w:val="00336610"/>
    <w:rsid w:val="00343F73"/>
    <w:rsid w:val="00345060"/>
    <w:rsid w:val="0035323B"/>
    <w:rsid w:val="003609D2"/>
    <w:rsid w:val="00363F22"/>
    <w:rsid w:val="00375564"/>
    <w:rsid w:val="00383191"/>
    <w:rsid w:val="00386DED"/>
    <w:rsid w:val="003912E7"/>
    <w:rsid w:val="00393947"/>
    <w:rsid w:val="003A2275"/>
    <w:rsid w:val="003A6A4F"/>
    <w:rsid w:val="003A7088"/>
    <w:rsid w:val="003B00DF"/>
    <w:rsid w:val="003B1275"/>
    <w:rsid w:val="003B1778"/>
    <w:rsid w:val="003C11CB"/>
    <w:rsid w:val="003C75F3"/>
    <w:rsid w:val="003C78A3"/>
    <w:rsid w:val="003E1867"/>
    <w:rsid w:val="003E5729"/>
    <w:rsid w:val="003F4EE0"/>
    <w:rsid w:val="00402153"/>
    <w:rsid w:val="00402FC1"/>
    <w:rsid w:val="00425082"/>
    <w:rsid w:val="00431DEB"/>
    <w:rsid w:val="00446B29"/>
    <w:rsid w:val="00453F9A"/>
    <w:rsid w:val="00462812"/>
    <w:rsid w:val="00471E91"/>
    <w:rsid w:val="00474675"/>
    <w:rsid w:val="0047470C"/>
    <w:rsid w:val="00493291"/>
    <w:rsid w:val="004A35F9"/>
    <w:rsid w:val="004B24C1"/>
    <w:rsid w:val="004C292F"/>
    <w:rsid w:val="00510280"/>
    <w:rsid w:val="00513D73"/>
    <w:rsid w:val="00514A43"/>
    <w:rsid w:val="005174E5"/>
    <w:rsid w:val="00522393"/>
    <w:rsid w:val="00522620"/>
    <w:rsid w:val="00525656"/>
    <w:rsid w:val="00534C02"/>
    <w:rsid w:val="0054264B"/>
    <w:rsid w:val="00543786"/>
    <w:rsid w:val="005533D7"/>
    <w:rsid w:val="005703DE"/>
    <w:rsid w:val="0058464E"/>
    <w:rsid w:val="005A01CB"/>
    <w:rsid w:val="005A58FF"/>
    <w:rsid w:val="005A5EAF"/>
    <w:rsid w:val="005A64C0"/>
    <w:rsid w:val="005B3C11"/>
    <w:rsid w:val="005C1C28"/>
    <w:rsid w:val="005C6DB5"/>
    <w:rsid w:val="005E19E7"/>
    <w:rsid w:val="0061716C"/>
    <w:rsid w:val="006243A1"/>
    <w:rsid w:val="00632E56"/>
    <w:rsid w:val="00635CBA"/>
    <w:rsid w:val="0064338B"/>
    <w:rsid w:val="00646542"/>
    <w:rsid w:val="006504F4"/>
    <w:rsid w:val="00654BC9"/>
    <w:rsid w:val="006552FD"/>
    <w:rsid w:val="00663AF3"/>
    <w:rsid w:val="00666B6C"/>
    <w:rsid w:val="00682682"/>
    <w:rsid w:val="00682702"/>
    <w:rsid w:val="00692368"/>
    <w:rsid w:val="006A2EBC"/>
    <w:rsid w:val="006A5EA0"/>
    <w:rsid w:val="006A783B"/>
    <w:rsid w:val="006A7B33"/>
    <w:rsid w:val="006B4E13"/>
    <w:rsid w:val="006B75DD"/>
    <w:rsid w:val="006C67E0"/>
    <w:rsid w:val="006C7ABA"/>
    <w:rsid w:val="006D0D60"/>
    <w:rsid w:val="006D1122"/>
    <w:rsid w:val="006D3C00"/>
    <w:rsid w:val="006E3675"/>
    <w:rsid w:val="006E4A7F"/>
    <w:rsid w:val="00704DF6"/>
    <w:rsid w:val="0070651C"/>
    <w:rsid w:val="007132A3"/>
    <w:rsid w:val="00716421"/>
    <w:rsid w:val="00724EFB"/>
    <w:rsid w:val="007419C3"/>
    <w:rsid w:val="007467A7"/>
    <w:rsid w:val="007469DD"/>
    <w:rsid w:val="0074741B"/>
    <w:rsid w:val="0074759E"/>
    <w:rsid w:val="007478EA"/>
    <w:rsid w:val="0075415C"/>
    <w:rsid w:val="00763502"/>
    <w:rsid w:val="007913AB"/>
    <w:rsid w:val="007914F7"/>
    <w:rsid w:val="007B1625"/>
    <w:rsid w:val="007B706E"/>
    <w:rsid w:val="007B71EB"/>
    <w:rsid w:val="007C6205"/>
    <w:rsid w:val="007C686A"/>
    <w:rsid w:val="007C728E"/>
    <w:rsid w:val="007D2C53"/>
    <w:rsid w:val="007D3D60"/>
    <w:rsid w:val="007E1980"/>
    <w:rsid w:val="007E4B76"/>
    <w:rsid w:val="007E5EA8"/>
    <w:rsid w:val="007F0CF1"/>
    <w:rsid w:val="007F12A5"/>
    <w:rsid w:val="007F4CF1"/>
    <w:rsid w:val="007F758D"/>
    <w:rsid w:val="007F7D52"/>
    <w:rsid w:val="0080654C"/>
    <w:rsid w:val="008071C6"/>
    <w:rsid w:val="00817A00"/>
    <w:rsid w:val="00835DB3"/>
    <w:rsid w:val="0083617B"/>
    <w:rsid w:val="008371BD"/>
    <w:rsid w:val="008504A8"/>
    <w:rsid w:val="0085282E"/>
    <w:rsid w:val="0087198C"/>
    <w:rsid w:val="00872C1F"/>
    <w:rsid w:val="00873B42"/>
    <w:rsid w:val="008856D8"/>
    <w:rsid w:val="00892E82"/>
    <w:rsid w:val="008C1B58"/>
    <w:rsid w:val="008C39AE"/>
    <w:rsid w:val="008C590D"/>
    <w:rsid w:val="008E031B"/>
    <w:rsid w:val="008E7029"/>
    <w:rsid w:val="008E7EF6"/>
    <w:rsid w:val="008F1F98"/>
    <w:rsid w:val="008F6758"/>
    <w:rsid w:val="009040DD"/>
    <w:rsid w:val="00905B47"/>
    <w:rsid w:val="009118E6"/>
    <w:rsid w:val="0091331C"/>
    <w:rsid w:val="009279DE"/>
    <w:rsid w:val="00930116"/>
    <w:rsid w:val="0094212C"/>
    <w:rsid w:val="00954689"/>
    <w:rsid w:val="009617C9"/>
    <w:rsid w:val="00961C93"/>
    <w:rsid w:val="00965324"/>
    <w:rsid w:val="0097091E"/>
    <w:rsid w:val="009760D3"/>
    <w:rsid w:val="00977132"/>
    <w:rsid w:val="00981A4B"/>
    <w:rsid w:val="00982501"/>
    <w:rsid w:val="009877D3"/>
    <w:rsid w:val="00994E8F"/>
    <w:rsid w:val="009951DC"/>
    <w:rsid w:val="009959BB"/>
    <w:rsid w:val="00997158"/>
    <w:rsid w:val="009A3A7C"/>
    <w:rsid w:val="009B2ADB"/>
    <w:rsid w:val="009B603A"/>
    <w:rsid w:val="009C2D0E"/>
    <w:rsid w:val="009C3DAC"/>
    <w:rsid w:val="009C42E0"/>
    <w:rsid w:val="009D5362"/>
    <w:rsid w:val="009E1415"/>
    <w:rsid w:val="009E6116"/>
    <w:rsid w:val="00A02E43"/>
    <w:rsid w:val="00A065F9"/>
    <w:rsid w:val="00A07F34"/>
    <w:rsid w:val="00A22154"/>
    <w:rsid w:val="00A25C38"/>
    <w:rsid w:val="00A31D15"/>
    <w:rsid w:val="00A36BBE"/>
    <w:rsid w:val="00A4307A"/>
    <w:rsid w:val="00A47EBB"/>
    <w:rsid w:val="00A51CDD"/>
    <w:rsid w:val="00A6730D"/>
    <w:rsid w:val="00A71625"/>
    <w:rsid w:val="00A71B9B"/>
    <w:rsid w:val="00A751C7"/>
    <w:rsid w:val="00A87844"/>
    <w:rsid w:val="00AA038C"/>
    <w:rsid w:val="00AA7A09"/>
    <w:rsid w:val="00AB3B50"/>
    <w:rsid w:val="00AC05B1"/>
    <w:rsid w:val="00AD356C"/>
    <w:rsid w:val="00AE2914"/>
    <w:rsid w:val="00AE6D15"/>
    <w:rsid w:val="00B04182"/>
    <w:rsid w:val="00B07AE3"/>
    <w:rsid w:val="00B11430"/>
    <w:rsid w:val="00B353EB"/>
    <w:rsid w:val="00B439C4"/>
    <w:rsid w:val="00B4535E"/>
    <w:rsid w:val="00B52A8C"/>
    <w:rsid w:val="00B636A8"/>
    <w:rsid w:val="00B665C6"/>
    <w:rsid w:val="00B805AF"/>
    <w:rsid w:val="00B869EC"/>
    <w:rsid w:val="00B9397A"/>
    <w:rsid w:val="00B9633D"/>
    <w:rsid w:val="00BA2EBE"/>
    <w:rsid w:val="00BB0F28"/>
    <w:rsid w:val="00BB458A"/>
    <w:rsid w:val="00BD00D3"/>
    <w:rsid w:val="00BD1659"/>
    <w:rsid w:val="00BD3AA9"/>
    <w:rsid w:val="00BD4A18"/>
    <w:rsid w:val="00BD6DB2"/>
    <w:rsid w:val="00BE11CF"/>
    <w:rsid w:val="00BE21AB"/>
    <w:rsid w:val="00BE55CB"/>
    <w:rsid w:val="00BF617A"/>
    <w:rsid w:val="00C0379D"/>
    <w:rsid w:val="00C03931"/>
    <w:rsid w:val="00C05FE3"/>
    <w:rsid w:val="00C2136D"/>
    <w:rsid w:val="00C214EE"/>
    <w:rsid w:val="00C2314B"/>
    <w:rsid w:val="00C24971"/>
    <w:rsid w:val="00C26BE5"/>
    <w:rsid w:val="00C26E4D"/>
    <w:rsid w:val="00C27909"/>
    <w:rsid w:val="00C27B03"/>
    <w:rsid w:val="00C314E1"/>
    <w:rsid w:val="00C34397"/>
    <w:rsid w:val="00C4095D"/>
    <w:rsid w:val="00C601D2"/>
    <w:rsid w:val="00C657AB"/>
    <w:rsid w:val="00C65BCC"/>
    <w:rsid w:val="00C66970"/>
    <w:rsid w:val="00C8691C"/>
    <w:rsid w:val="00CA168A"/>
    <w:rsid w:val="00CA357E"/>
    <w:rsid w:val="00CA44F9"/>
    <w:rsid w:val="00CA4A69"/>
    <w:rsid w:val="00CC3E0C"/>
    <w:rsid w:val="00CC58D3"/>
    <w:rsid w:val="00CC784D"/>
    <w:rsid w:val="00D0337B"/>
    <w:rsid w:val="00D079B2"/>
    <w:rsid w:val="00D114E9"/>
    <w:rsid w:val="00D429C6"/>
    <w:rsid w:val="00D47748"/>
    <w:rsid w:val="00D54CC3"/>
    <w:rsid w:val="00D6041A"/>
    <w:rsid w:val="00D633EB"/>
    <w:rsid w:val="00D82FF7"/>
    <w:rsid w:val="00D847FE"/>
    <w:rsid w:val="00D964EA"/>
    <w:rsid w:val="00D966D0"/>
    <w:rsid w:val="00DA0C59"/>
    <w:rsid w:val="00DA3991"/>
    <w:rsid w:val="00DB7E6C"/>
    <w:rsid w:val="00DD5A29"/>
    <w:rsid w:val="00DD5D9D"/>
    <w:rsid w:val="00DE35CB"/>
    <w:rsid w:val="00DF21E9"/>
    <w:rsid w:val="00E00F14"/>
    <w:rsid w:val="00E06386"/>
    <w:rsid w:val="00E24EB4"/>
    <w:rsid w:val="00E320ED"/>
    <w:rsid w:val="00E33AFB"/>
    <w:rsid w:val="00E34218"/>
    <w:rsid w:val="00E46282"/>
    <w:rsid w:val="00E5216E"/>
    <w:rsid w:val="00E82344"/>
    <w:rsid w:val="00E84C82"/>
    <w:rsid w:val="00E84D64"/>
    <w:rsid w:val="00E87408"/>
    <w:rsid w:val="00E914C4"/>
    <w:rsid w:val="00E934F5"/>
    <w:rsid w:val="00E96961"/>
    <w:rsid w:val="00EA72EC"/>
    <w:rsid w:val="00EB11CB"/>
    <w:rsid w:val="00EB275A"/>
    <w:rsid w:val="00EB5CAF"/>
    <w:rsid w:val="00EB786A"/>
    <w:rsid w:val="00EC1578"/>
    <w:rsid w:val="00EC1C72"/>
    <w:rsid w:val="00EC3CC9"/>
    <w:rsid w:val="00EC680A"/>
    <w:rsid w:val="00EE2BED"/>
    <w:rsid w:val="00EE374B"/>
    <w:rsid w:val="00F11BB5"/>
    <w:rsid w:val="00F1417B"/>
    <w:rsid w:val="00F34B99"/>
    <w:rsid w:val="00F52DAB"/>
    <w:rsid w:val="00F543F0"/>
    <w:rsid w:val="00F81D29"/>
    <w:rsid w:val="00F91C4D"/>
    <w:rsid w:val="00F92FD9"/>
    <w:rsid w:val="00FA6684"/>
    <w:rsid w:val="00FA731E"/>
    <w:rsid w:val="00FB2B38"/>
    <w:rsid w:val="00FC6358"/>
    <w:rsid w:val="00FD320D"/>
    <w:rsid w:val="00FE23DE"/>
    <w:rsid w:val="01075C06"/>
    <w:rsid w:val="01124B68"/>
    <w:rsid w:val="012540D0"/>
    <w:rsid w:val="012A40E0"/>
    <w:rsid w:val="0158106E"/>
    <w:rsid w:val="01A727C3"/>
    <w:rsid w:val="01C84416"/>
    <w:rsid w:val="01CC0F23"/>
    <w:rsid w:val="01E17049"/>
    <w:rsid w:val="02260CFC"/>
    <w:rsid w:val="02300818"/>
    <w:rsid w:val="02481E45"/>
    <w:rsid w:val="024F1F02"/>
    <w:rsid w:val="026637D7"/>
    <w:rsid w:val="028E0144"/>
    <w:rsid w:val="02BD0A06"/>
    <w:rsid w:val="02C92D85"/>
    <w:rsid w:val="02CC1F22"/>
    <w:rsid w:val="02D44C70"/>
    <w:rsid w:val="02DF27EE"/>
    <w:rsid w:val="02E2696F"/>
    <w:rsid w:val="03180DAD"/>
    <w:rsid w:val="0330302F"/>
    <w:rsid w:val="03527440"/>
    <w:rsid w:val="039712A1"/>
    <w:rsid w:val="03994F11"/>
    <w:rsid w:val="039A14F4"/>
    <w:rsid w:val="03AF3694"/>
    <w:rsid w:val="03B2731B"/>
    <w:rsid w:val="03CF0EC1"/>
    <w:rsid w:val="03D05704"/>
    <w:rsid w:val="03F072D6"/>
    <w:rsid w:val="03F9423D"/>
    <w:rsid w:val="04211C9E"/>
    <w:rsid w:val="043F7065"/>
    <w:rsid w:val="0455694E"/>
    <w:rsid w:val="04587FFC"/>
    <w:rsid w:val="046D3DE3"/>
    <w:rsid w:val="04932546"/>
    <w:rsid w:val="04A0234C"/>
    <w:rsid w:val="04AC58C3"/>
    <w:rsid w:val="04CB7023"/>
    <w:rsid w:val="04D408A8"/>
    <w:rsid w:val="04D50444"/>
    <w:rsid w:val="04EF57D0"/>
    <w:rsid w:val="05193093"/>
    <w:rsid w:val="0549505D"/>
    <w:rsid w:val="0558566E"/>
    <w:rsid w:val="055C3A8F"/>
    <w:rsid w:val="055D609F"/>
    <w:rsid w:val="05705086"/>
    <w:rsid w:val="057626F8"/>
    <w:rsid w:val="05876931"/>
    <w:rsid w:val="058A11A9"/>
    <w:rsid w:val="05B955F4"/>
    <w:rsid w:val="05CD6A91"/>
    <w:rsid w:val="05E45C2A"/>
    <w:rsid w:val="06492A44"/>
    <w:rsid w:val="064D119D"/>
    <w:rsid w:val="06584679"/>
    <w:rsid w:val="06632718"/>
    <w:rsid w:val="067C0116"/>
    <w:rsid w:val="068B7572"/>
    <w:rsid w:val="068C3C3F"/>
    <w:rsid w:val="069070F5"/>
    <w:rsid w:val="06C9184A"/>
    <w:rsid w:val="06F37072"/>
    <w:rsid w:val="074909DA"/>
    <w:rsid w:val="075B5561"/>
    <w:rsid w:val="078030E2"/>
    <w:rsid w:val="07822DB8"/>
    <w:rsid w:val="078A74A5"/>
    <w:rsid w:val="078B599A"/>
    <w:rsid w:val="07923BDD"/>
    <w:rsid w:val="07950914"/>
    <w:rsid w:val="07B43DE6"/>
    <w:rsid w:val="07BF6A1D"/>
    <w:rsid w:val="08527D81"/>
    <w:rsid w:val="085C2D8B"/>
    <w:rsid w:val="086E480E"/>
    <w:rsid w:val="088D163F"/>
    <w:rsid w:val="08B84D38"/>
    <w:rsid w:val="08C26432"/>
    <w:rsid w:val="08C95E37"/>
    <w:rsid w:val="09003E71"/>
    <w:rsid w:val="092F548B"/>
    <w:rsid w:val="093F4EA4"/>
    <w:rsid w:val="094654DF"/>
    <w:rsid w:val="09624326"/>
    <w:rsid w:val="098C042F"/>
    <w:rsid w:val="099C20C8"/>
    <w:rsid w:val="09BE7301"/>
    <w:rsid w:val="09D23E2C"/>
    <w:rsid w:val="0A6C6624"/>
    <w:rsid w:val="0A817022"/>
    <w:rsid w:val="0A9E6A35"/>
    <w:rsid w:val="0ABE4827"/>
    <w:rsid w:val="0ACD5BC8"/>
    <w:rsid w:val="0B010482"/>
    <w:rsid w:val="0B225FF3"/>
    <w:rsid w:val="0B2A05CB"/>
    <w:rsid w:val="0B3F0D82"/>
    <w:rsid w:val="0B456BD2"/>
    <w:rsid w:val="0B6A7A52"/>
    <w:rsid w:val="0B8054B4"/>
    <w:rsid w:val="0B9D3AE6"/>
    <w:rsid w:val="0BC00648"/>
    <w:rsid w:val="0BD004AB"/>
    <w:rsid w:val="0BD158E9"/>
    <w:rsid w:val="0BE278BB"/>
    <w:rsid w:val="0BF60972"/>
    <w:rsid w:val="0BFA7120"/>
    <w:rsid w:val="0C013E7A"/>
    <w:rsid w:val="0C326E8E"/>
    <w:rsid w:val="0C3D286D"/>
    <w:rsid w:val="0C594683"/>
    <w:rsid w:val="0C655F04"/>
    <w:rsid w:val="0CA36680"/>
    <w:rsid w:val="0CD742F8"/>
    <w:rsid w:val="0CFB0D0E"/>
    <w:rsid w:val="0D0C16B2"/>
    <w:rsid w:val="0D133CA0"/>
    <w:rsid w:val="0D3471DB"/>
    <w:rsid w:val="0D4E2C10"/>
    <w:rsid w:val="0D5C6DBF"/>
    <w:rsid w:val="0D685B19"/>
    <w:rsid w:val="0D924001"/>
    <w:rsid w:val="0D94286A"/>
    <w:rsid w:val="0D9C5FC0"/>
    <w:rsid w:val="0DA45E8A"/>
    <w:rsid w:val="0DB061A6"/>
    <w:rsid w:val="0DB27E46"/>
    <w:rsid w:val="0E414B35"/>
    <w:rsid w:val="0E48561B"/>
    <w:rsid w:val="0E68281A"/>
    <w:rsid w:val="0E77575E"/>
    <w:rsid w:val="0E8F5211"/>
    <w:rsid w:val="0EC025B6"/>
    <w:rsid w:val="0ECF0A3F"/>
    <w:rsid w:val="0EF0155D"/>
    <w:rsid w:val="0F40035E"/>
    <w:rsid w:val="0F420206"/>
    <w:rsid w:val="0F555E91"/>
    <w:rsid w:val="0F7E582E"/>
    <w:rsid w:val="0F9D474E"/>
    <w:rsid w:val="0FB55BCA"/>
    <w:rsid w:val="0FCA5BFA"/>
    <w:rsid w:val="0FCB3F40"/>
    <w:rsid w:val="0FE37F39"/>
    <w:rsid w:val="0FF95A4D"/>
    <w:rsid w:val="101A282C"/>
    <w:rsid w:val="10203C21"/>
    <w:rsid w:val="10216E12"/>
    <w:rsid w:val="1056354F"/>
    <w:rsid w:val="1058277E"/>
    <w:rsid w:val="109E4B1A"/>
    <w:rsid w:val="10A56F27"/>
    <w:rsid w:val="10E63820"/>
    <w:rsid w:val="10F369D1"/>
    <w:rsid w:val="11060FB9"/>
    <w:rsid w:val="11146126"/>
    <w:rsid w:val="111622AE"/>
    <w:rsid w:val="11496B75"/>
    <w:rsid w:val="115E20DA"/>
    <w:rsid w:val="116046AB"/>
    <w:rsid w:val="11664948"/>
    <w:rsid w:val="117912CF"/>
    <w:rsid w:val="11AE63B8"/>
    <w:rsid w:val="11B06F76"/>
    <w:rsid w:val="11BD6896"/>
    <w:rsid w:val="11D52E3B"/>
    <w:rsid w:val="11E15CB8"/>
    <w:rsid w:val="11E6678C"/>
    <w:rsid w:val="11FB2C18"/>
    <w:rsid w:val="120215FA"/>
    <w:rsid w:val="121412B8"/>
    <w:rsid w:val="12232E94"/>
    <w:rsid w:val="122512CC"/>
    <w:rsid w:val="12297209"/>
    <w:rsid w:val="126530C0"/>
    <w:rsid w:val="127A67D9"/>
    <w:rsid w:val="12AB5146"/>
    <w:rsid w:val="12C422A1"/>
    <w:rsid w:val="13030175"/>
    <w:rsid w:val="13363342"/>
    <w:rsid w:val="13695B0F"/>
    <w:rsid w:val="136C3497"/>
    <w:rsid w:val="137112CC"/>
    <w:rsid w:val="138F18F8"/>
    <w:rsid w:val="13B57B91"/>
    <w:rsid w:val="13B66109"/>
    <w:rsid w:val="13CF11CE"/>
    <w:rsid w:val="13D71309"/>
    <w:rsid w:val="13E36F08"/>
    <w:rsid w:val="13E53539"/>
    <w:rsid w:val="13EB4D3C"/>
    <w:rsid w:val="141C66E9"/>
    <w:rsid w:val="14527148"/>
    <w:rsid w:val="14585EE5"/>
    <w:rsid w:val="146A4B93"/>
    <w:rsid w:val="14763198"/>
    <w:rsid w:val="14B457B4"/>
    <w:rsid w:val="14B87CFF"/>
    <w:rsid w:val="14C415B9"/>
    <w:rsid w:val="14C471A6"/>
    <w:rsid w:val="14D16EB6"/>
    <w:rsid w:val="14D533DF"/>
    <w:rsid w:val="150E066F"/>
    <w:rsid w:val="1566037D"/>
    <w:rsid w:val="156F2B87"/>
    <w:rsid w:val="159A1A03"/>
    <w:rsid w:val="15EA626F"/>
    <w:rsid w:val="15EC50CB"/>
    <w:rsid w:val="16136A9B"/>
    <w:rsid w:val="162E66A5"/>
    <w:rsid w:val="16595D10"/>
    <w:rsid w:val="165A0D70"/>
    <w:rsid w:val="16BD0F2B"/>
    <w:rsid w:val="17031EFB"/>
    <w:rsid w:val="17295E37"/>
    <w:rsid w:val="174D11D8"/>
    <w:rsid w:val="175111B0"/>
    <w:rsid w:val="1769733A"/>
    <w:rsid w:val="1788015A"/>
    <w:rsid w:val="17991C8E"/>
    <w:rsid w:val="17C5723F"/>
    <w:rsid w:val="17CB67CB"/>
    <w:rsid w:val="181237D3"/>
    <w:rsid w:val="1849592B"/>
    <w:rsid w:val="18677E6A"/>
    <w:rsid w:val="186E20C4"/>
    <w:rsid w:val="18794E10"/>
    <w:rsid w:val="18902EB0"/>
    <w:rsid w:val="18AC0882"/>
    <w:rsid w:val="18E7306B"/>
    <w:rsid w:val="18F409E7"/>
    <w:rsid w:val="19110A1E"/>
    <w:rsid w:val="192A5953"/>
    <w:rsid w:val="192F69BE"/>
    <w:rsid w:val="1961062A"/>
    <w:rsid w:val="19987F0F"/>
    <w:rsid w:val="19D339CB"/>
    <w:rsid w:val="1A0E38FD"/>
    <w:rsid w:val="1A2571E5"/>
    <w:rsid w:val="1A36356D"/>
    <w:rsid w:val="1A382490"/>
    <w:rsid w:val="1A455D74"/>
    <w:rsid w:val="1A4F4887"/>
    <w:rsid w:val="1A6253ED"/>
    <w:rsid w:val="1A6E324A"/>
    <w:rsid w:val="1AA6628E"/>
    <w:rsid w:val="1ABB76FE"/>
    <w:rsid w:val="1AC30484"/>
    <w:rsid w:val="1ACC1870"/>
    <w:rsid w:val="1ACE5537"/>
    <w:rsid w:val="1B1934EA"/>
    <w:rsid w:val="1B5E79BE"/>
    <w:rsid w:val="1B8037D5"/>
    <w:rsid w:val="1BAB6FD4"/>
    <w:rsid w:val="1BC47421"/>
    <w:rsid w:val="1BEA5D4D"/>
    <w:rsid w:val="1C063420"/>
    <w:rsid w:val="1C275144"/>
    <w:rsid w:val="1C3A3FA2"/>
    <w:rsid w:val="1C6C01C5"/>
    <w:rsid w:val="1C78183F"/>
    <w:rsid w:val="1C831747"/>
    <w:rsid w:val="1CA87EF6"/>
    <w:rsid w:val="1CDE349A"/>
    <w:rsid w:val="1CE84F89"/>
    <w:rsid w:val="1CF245BD"/>
    <w:rsid w:val="1D1241A7"/>
    <w:rsid w:val="1D1F0F76"/>
    <w:rsid w:val="1D4E4E61"/>
    <w:rsid w:val="1D82490D"/>
    <w:rsid w:val="1D8D61A6"/>
    <w:rsid w:val="1DBA0E06"/>
    <w:rsid w:val="1DC006BA"/>
    <w:rsid w:val="1DC15797"/>
    <w:rsid w:val="1DCC695C"/>
    <w:rsid w:val="1DDF0BA9"/>
    <w:rsid w:val="1E2C6A77"/>
    <w:rsid w:val="1E5326EA"/>
    <w:rsid w:val="1E8D43AE"/>
    <w:rsid w:val="1E9332A8"/>
    <w:rsid w:val="1EB95019"/>
    <w:rsid w:val="1EBD035F"/>
    <w:rsid w:val="1EC631AE"/>
    <w:rsid w:val="1ED83CEA"/>
    <w:rsid w:val="1EE83106"/>
    <w:rsid w:val="1EFD39F2"/>
    <w:rsid w:val="1F1F026F"/>
    <w:rsid w:val="1F291049"/>
    <w:rsid w:val="1F2B20EC"/>
    <w:rsid w:val="1F3A28D2"/>
    <w:rsid w:val="1F3B5DF3"/>
    <w:rsid w:val="1F592070"/>
    <w:rsid w:val="1F592935"/>
    <w:rsid w:val="1F752819"/>
    <w:rsid w:val="1F832D0A"/>
    <w:rsid w:val="1FAA2644"/>
    <w:rsid w:val="1FC53207"/>
    <w:rsid w:val="1FC71A30"/>
    <w:rsid w:val="1FEB6117"/>
    <w:rsid w:val="201309B4"/>
    <w:rsid w:val="203212E2"/>
    <w:rsid w:val="203A74C8"/>
    <w:rsid w:val="2047534F"/>
    <w:rsid w:val="206F75F4"/>
    <w:rsid w:val="207D3C6D"/>
    <w:rsid w:val="20A31EF0"/>
    <w:rsid w:val="20A411F4"/>
    <w:rsid w:val="20B22880"/>
    <w:rsid w:val="20D068D2"/>
    <w:rsid w:val="20E32006"/>
    <w:rsid w:val="21012080"/>
    <w:rsid w:val="21261367"/>
    <w:rsid w:val="212838C0"/>
    <w:rsid w:val="21377EAE"/>
    <w:rsid w:val="214004BC"/>
    <w:rsid w:val="2151708C"/>
    <w:rsid w:val="21592000"/>
    <w:rsid w:val="21747382"/>
    <w:rsid w:val="21837305"/>
    <w:rsid w:val="218E5381"/>
    <w:rsid w:val="218F4AAC"/>
    <w:rsid w:val="21D05CDC"/>
    <w:rsid w:val="22021378"/>
    <w:rsid w:val="22645425"/>
    <w:rsid w:val="2271677B"/>
    <w:rsid w:val="227C4776"/>
    <w:rsid w:val="227C61C9"/>
    <w:rsid w:val="227F415C"/>
    <w:rsid w:val="22A81BDC"/>
    <w:rsid w:val="22A82C2F"/>
    <w:rsid w:val="22B06271"/>
    <w:rsid w:val="22BC6098"/>
    <w:rsid w:val="22E03076"/>
    <w:rsid w:val="22F166C6"/>
    <w:rsid w:val="23650807"/>
    <w:rsid w:val="23760C6F"/>
    <w:rsid w:val="23AE3525"/>
    <w:rsid w:val="23FC1E12"/>
    <w:rsid w:val="24646504"/>
    <w:rsid w:val="24AA1F31"/>
    <w:rsid w:val="24AD3E3A"/>
    <w:rsid w:val="24C07AC0"/>
    <w:rsid w:val="24C4410F"/>
    <w:rsid w:val="24C52CBA"/>
    <w:rsid w:val="24D446BA"/>
    <w:rsid w:val="24DB038F"/>
    <w:rsid w:val="25285AFF"/>
    <w:rsid w:val="254C0F6F"/>
    <w:rsid w:val="25731F22"/>
    <w:rsid w:val="257A15F3"/>
    <w:rsid w:val="25803727"/>
    <w:rsid w:val="25B10E75"/>
    <w:rsid w:val="26291984"/>
    <w:rsid w:val="2631213E"/>
    <w:rsid w:val="2650297B"/>
    <w:rsid w:val="265763A6"/>
    <w:rsid w:val="265F4AC1"/>
    <w:rsid w:val="26CD2092"/>
    <w:rsid w:val="26E62166"/>
    <w:rsid w:val="26FA224E"/>
    <w:rsid w:val="2712465D"/>
    <w:rsid w:val="271E26A7"/>
    <w:rsid w:val="274A509E"/>
    <w:rsid w:val="274B7259"/>
    <w:rsid w:val="2769759E"/>
    <w:rsid w:val="279100E8"/>
    <w:rsid w:val="27B81A07"/>
    <w:rsid w:val="27D8710D"/>
    <w:rsid w:val="27F60719"/>
    <w:rsid w:val="28173CF2"/>
    <w:rsid w:val="288651B4"/>
    <w:rsid w:val="289812B7"/>
    <w:rsid w:val="28BD2977"/>
    <w:rsid w:val="28CD55BD"/>
    <w:rsid w:val="28FD0E81"/>
    <w:rsid w:val="29067E71"/>
    <w:rsid w:val="290D0CAF"/>
    <w:rsid w:val="292E6EA5"/>
    <w:rsid w:val="294622C9"/>
    <w:rsid w:val="294D74E6"/>
    <w:rsid w:val="297938EE"/>
    <w:rsid w:val="2991106C"/>
    <w:rsid w:val="29C82B3D"/>
    <w:rsid w:val="29D35D57"/>
    <w:rsid w:val="29E706C0"/>
    <w:rsid w:val="29F376E1"/>
    <w:rsid w:val="2A096806"/>
    <w:rsid w:val="2A2A60CC"/>
    <w:rsid w:val="2A2F09A3"/>
    <w:rsid w:val="2A4F65F2"/>
    <w:rsid w:val="2A621E14"/>
    <w:rsid w:val="2A701DAC"/>
    <w:rsid w:val="2A78008F"/>
    <w:rsid w:val="2AA44C71"/>
    <w:rsid w:val="2ABF6565"/>
    <w:rsid w:val="2AC109F1"/>
    <w:rsid w:val="2AD35392"/>
    <w:rsid w:val="2B2236C4"/>
    <w:rsid w:val="2B677BF1"/>
    <w:rsid w:val="2B7B1284"/>
    <w:rsid w:val="2BA16324"/>
    <w:rsid w:val="2BC44843"/>
    <w:rsid w:val="2C0F353A"/>
    <w:rsid w:val="2C222606"/>
    <w:rsid w:val="2C2B5D19"/>
    <w:rsid w:val="2C5D6F0E"/>
    <w:rsid w:val="2C6930DA"/>
    <w:rsid w:val="2C807EFE"/>
    <w:rsid w:val="2CDA2079"/>
    <w:rsid w:val="2CF10DD7"/>
    <w:rsid w:val="2CF21419"/>
    <w:rsid w:val="2D0041CD"/>
    <w:rsid w:val="2D020571"/>
    <w:rsid w:val="2D036A3D"/>
    <w:rsid w:val="2D121F2D"/>
    <w:rsid w:val="2D253F6A"/>
    <w:rsid w:val="2D494F78"/>
    <w:rsid w:val="2D7C40EE"/>
    <w:rsid w:val="2D8B741F"/>
    <w:rsid w:val="2D8D70B3"/>
    <w:rsid w:val="2D9758DD"/>
    <w:rsid w:val="2D9823FC"/>
    <w:rsid w:val="2DA01316"/>
    <w:rsid w:val="2DAE6105"/>
    <w:rsid w:val="2DF821E5"/>
    <w:rsid w:val="2E211DB8"/>
    <w:rsid w:val="2E293A3C"/>
    <w:rsid w:val="2E3A6570"/>
    <w:rsid w:val="2E5A03D4"/>
    <w:rsid w:val="2E5D1A4C"/>
    <w:rsid w:val="2E661DC9"/>
    <w:rsid w:val="2EB12C2B"/>
    <w:rsid w:val="2EC01466"/>
    <w:rsid w:val="2EDB0C04"/>
    <w:rsid w:val="2EF16450"/>
    <w:rsid w:val="2F0917A3"/>
    <w:rsid w:val="2F116797"/>
    <w:rsid w:val="2F2916C7"/>
    <w:rsid w:val="2F3460FD"/>
    <w:rsid w:val="2F5342FE"/>
    <w:rsid w:val="2F58755E"/>
    <w:rsid w:val="2F6354ED"/>
    <w:rsid w:val="2FB66518"/>
    <w:rsid w:val="2FC817D5"/>
    <w:rsid w:val="2FD829B8"/>
    <w:rsid w:val="2FE04752"/>
    <w:rsid w:val="2FE575A9"/>
    <w:rsid w:val="301F672A"/>
    <w:rsid w:val="30333960"/>
    <w:rsid w:val="30350DE0"/>
    <w:rsid w:val="30387394"/>
    <w:rsid w:val="30517CFD"/>
    <w:rsid w:val="30645559"/>
    <w:rsid w:val="30710E1B"/>
    <w:rsid w:val="30B76558"/>
    <w:rsid w:val="30C33EB1"/>
    <w:rsid w:val="30FE0CF0"/>
    <w:rsid w:val="310574E9"/>
    <w:rsid w:val="3107353A"/>
    <w:rsid w:val="311F2866"/>
    <w:rsid w:val="3135057E"/>
    <w:rsid w:val="3146373B"/>
    <w:rsid w:val="31560BB4"/>
    <w:rsid w:val="31592B9F"/>
    <w:rsid w:val="31636C29"/>
    <w:rsid w:val="31710062"/>
    <w:rsid w:val="31904FA4"/>
    <w:rsid w:val="31CA3D94"/>
    <w:rsid w:val="31D519BD"/>
    <w:rsid w:val="32413A64"/>
    <w:rsid w:val="32543E81"/>
    <w:rsid w:val="32870646"/>
    <w:rsid w:val="328E6D2B"/>
    <w:rsid w:val="32E43740"/>
    <w:rsid w:val="32FA34C8"/>
    <w:rsid w:val="33183423"/>
    <w:rsid w:val="332344F5"/>
    <w:rsid w:val="332A3F68"/>
    <w:rsid w:val="334D03AF"/>
    <w:rsid w:val="33742CF9"/>
    <w:rsid w:val="33782034"/>
    <w:rsid w:val="3385599E"/>
    <w:rsid w:val="33A14927"/>
    <w:rsid w:val="33C37DC7"/>
    <w:rsid w:val="33E36DAA"/>
    <w:rsid w:val="33EB65C8"/>
    <w:rsid w:val="33ED7895"/>
    <w:rsid w:val="33EF04A8"/>
    <w:rsid w:val="33F924A1"/>
    <w:rsid w:val="34025D0B"/>
    <w:rsid w:val="34173207"/>
    <w:rsid w:val="344B632C"/>
    <w:rsid w:val="34724743"/>
    <w:rsid w:val="34752925"/>
    <w:rsid w:val="3490705E"/>
    <w:rsid w:val="349768C5"/>
    <w:rsid w:val="34B95429"/>
    <w:rsid w:val="34BF76F3"/>
    <w:rsid w:val="34C445B7"/>
    <w:rsid w:val="34DE054E"/>
    <w:rsid w:val="35034DBE"/>
    <w:rsid w:val="350D6D40"/>
    <w:rsid w:val="352E3829"/>
    <w:rsid w:val="354145C8"/>
    <w:rsid w:val="35434924"/>
    <w:rsid w:val="35465435"/>
    <w:rsid w:val="3549143F"/>
    <w:rsid w:val="355B0C3D"/>
    <w:rsid w:val="35690A2C"/>
    <w:rsid w:val="356C685C"/>
    <w:rsid w:val="35B86D2B"/>
    <w:rsid w:val="35C61FB6"/>
    <w:rsid w:val="35D80BEB"/>
    <w:rsid w:val="35F539A5"/>
    <w:rsid w:val="36174B80"/>
    <w:rsid w:val="36277202"/>
    <w:rsid w:val="364559F1"/>
    <w:rsid w:val="365D7374"/>
    <w:rsid w:val="367D4F9A"/>
    <w:rsid w:val="36854DE1"/>
    <w:rsid w:val="36921CC4"/>
    <w:rsid w:val="36F739BC"/>
    <w:rsid w:val="37520B96"/>
    <w:rsid w:val="37611252"/>
    <w:rsid w:val="37733F9F"/>
    <w:rsid w:val="377A196F"/>
    <w:rsid w:val="37952602"/>
    <w:rsid w:val="37AF5944"/>
    <w:rsid w:val="37E952B1"/>
    <w:rsid w:val="38056016"/>
    <w:rsid w:val="381F43AA"/>
    <w:rsid w:val="38232B5D"/>
    <w:rsid w:val="383007C6"/>
    <w:rsid w:val="386327BF"/>
    <w:rsid w:val="389612B7"/>
    <w:rsid w:val="38A02E06"/>
    <w:rsid w:val="38B33BFA"/>
    <w:rsid w:val="38CD0AB7"/>
    <w:rsid w:val="38CE0AEF"/>
    <w:rsid w:val="38E16EBA"/>
    <w:rsid w:val="390D4106"/>
    <w:rsid w:val="39316325"/>
    <w:rsid w:val="396F0F6F"/>
    <w:rsid w:val="39A46F79"/>
    <w:rsid w:val="39C04699"/>
    <w:rsid w:val="39C91A4B"/>
    <w:rsid w:val="39DA1650"/>
    <w:rsid w:val="39E6533E"/>
    <w:rsid w:val="39F50E40"/>
    <w:rsid w:val="3A0F2027"/>
    <w:rsid w:val="3A10219C"/>
    <w:rsid w:val="3A20771E"/>
    <w:rsid w:val="3A2308B3"/>
    <w:rsid w:val="3A4366AD"/>
    <w:rsid w:val="3A441890"/>
    <w:rsid w:val="3A804915"/>
    <w:rsid w:val="3A9439C0"/>
    <w:rsid w:val="3A9D53F9"/>
    <w:rsid w:val="3ABC65B2"/>
    <w:rsid w:val="3AD7581F"/>
    <w:rsid w:val="3AE1796C"/>
    <w:rsid w:val="3AFE72F1"/>
    <w:rsid w:val="3B094C06"/>
    <w:rsid w:val="3B1C6F5F"/>
    <w:rsid w:val="3B307003"/>
    <w:rsid w:val="3B3741DD"/>
    <w:rsid w:val="3B4F50BA"/>
    <w:rsid w:val="3B8316C7"/>
    <w:rsid w:val="3B965793"/>
    <w:rsid w:val="3BA8736D"/>
    <w:rsid w:val="3BBB4AA7"/>
    <w:rsid w:val="3BBB5060"/>
    <w:rsid w:val="3BE06BE7"/>
    <w:rsid w:val="3C0325A0"/>
    <w:rsid w:val="3C03546E"/>
    <w:rsid w:val="3C0677C7"/>
    <w:rsid w:val="3C0B677D"/>
    <w:rsid w:val="3C281698"/>
    <w:rsid w:val="3C40649F"/>
    <w:rsid w:val="3C604395"/>
    <w:rsid w:val="3C8B4CA1"/>
    <w:rsid w:val="3C947A70"/>
    <w:rsid w:val="3CAC4E3A"/>
    <w:rsid w:val="3CB045E7"/>
    <w:rsid w:val="3CBD5BA4"/>
    <w:rsid w:val="3CC64DB9"/>
    <w:rsid w:val="3CD21DA1"/>
    <w:rsid w:val="3CE81D8C"/>
    <w:rsid w:val="3D245A55"/>
    <w:rsid w:val="3D714CC3"/>
    <w:rsid w:val="3DA53D16"/>
    <w:rsid w:val="3DFE08DD"/>
    <w:rsid w:val="3E597B14"/>
    <w:rsid w:val="3E9A177C"/>
    <w:rsid w:val="3E9A5C13"/>
    <w:rsid w:val="3EC357E4"/>
    <w:rsid w:val="3EEC3260"/>
    <w:rsid w:val="3F2D05E0"/>
    <w:rsid w:val="3F4A50E2"/>
    <w:rsid w:val="3F5932CD"/>
    <w:rsid w:val="3FD56DD8"/>
    <w:rsid w:val="400F62C0"/>
    <w:rsid w:val="401F3004"/>
    <w:rsid w:val="40265EE4"/>
    <w:rsid w:val="4041429A"/>
    <w:rsid w:val="40415A47"/>
    <w:rsid w:val="40822279"/>
    <w:rsid w:val="408508F2"/>
    <w:rsid w:val="409358F0"/>
    <w:rsid w:val="40D12C16"/>
    <w:rsid w:val="40D16219"/>
    <w:rsid w:val="40E91391"/>
    <w:rsid w:val="40F12DDE"/>
    <w:rsid w:val="41014A1C"/>
    <w:rsid w:val="41052E3D"/>
    <w:rsid w:val="41081DED"/>
    <w:rsid w:val="410B708E"/>
    <w:rsid w:val="411739B5"/>
    <w:rsid w:val="41681BD9"/>
    <w:rsid w:val="41BA3F01"/>
    <w:rsid w:val="41F20F74"/>
    <w:rsid w:val="4203455E"/>
    <w:rsid w:val="42197F40"/>
    <w:rsid w:val="423F1C69"/>
    <w:rsid w:val="42724BFB"/>
    <w:rsid w:val="428B7966"/>
    <w:rsid w:val="42CB4754"/>
    <w:rsid w:val="42DB24E9"/>
    <w:rsid w:val="43064292"/>
    <w:rsid w:val="433D5767"/>
    <w:rsid w:val="434D6F45"/>
    <w:rsid w:val="435A7989"/>
    <w:rsid w:val="436E3870"/>
    <w:rsid w:val="437A3223"/>
    <w:rsid w:val="4389194E"/>
    <w:rsid w:val="438D645D"/>
    <w:rsid w:val="43A86E0B"/>
    <w:rsid w:val="43E40E35"/>
    <w:rsid w:val="441A3B93"/>
    <w:rsid w:val="441D1061"/>
    <w:rsid w:val="44360591"/>
    <w:rsid w:val="443B2666"/>
    <w:rsid w:val="44434687"/>
    <w:rsid w:val="444E4082"/>
    <w:rsid w:val="44603EA0"/>
    <w:rsid w:val="44856EF0"/>
    <w:rsid w:val="44A02E2A"/>
    <w:rsid w:val="450C492E"/>
    <w:rsid w:val="450F394C"/>
    <w:rsid w:val="452F16A8"/>
    <w:rsid w:val="4531303E"/>
    <w:rsid w:val="45650EEB"/>
    <w:rsid w:val="4598033B"/>
    <w:rsid w:val="45BF041E"/>
    <w:rsid w:val="45CA6B8C"/>
    <w:rsid w:val="45E44BFF"/>
    <w:rsid w:val="45E6287D"/>
    <w:rsid w:val="46022D3D"/>
    <w:rsid w:val="460D7005"/>
    <w:rsid w:val="46352734"/>
    <w:rsid w:val="46476FAA"/>
    <w:rsid w:val="466A56D1"/>
    <w:rsid w:val="46792E9A"/>
    <w:rsid w:val="467B0263"/>
    <w:rsid w:val="46983445"/>
    <w:rsid w:val="46A20C90"/>
    <w:rsid w:val="46AE67D0"/>
    <w:rsid w:val="46EA17F3"/>
    <w:rsid w:val="470A7FD2"/>
    <w:rsid w:val="472736C2"/>
    <w:rsid w:val="47286E03"/>
    <w:rsid w:val="47321977"/>
    <w:rsid w:val="47335407"/>
    <w:rsid w:val="4733556D"/>
    <w:rsid w:val="474E7F9D"/>
    <w:rsid w:val="4752432A"/>
    <w:rsid w:val="47550CEE"/>
    <w:rsid w:val="47735B4D"/>
    <w:rsid w:val="478D67CE"/>
    <w:rsid w:val="478E13B2"/>
    <w:rsid w:val="47940994"/>
    <w:rsid w:val="47946151"/>
    <w:rsid w:val="479A10E6"/>
    <w:rsid w:val="47A61E46"/>
    <w:rsid w:val="47B6106F"/>
    <w:rsid w:val="47CC0FEE"/>
    <w:rsid w:val="47DA1406"/>
    <w:rsid w:val="47F1222D"/>
    <w:rsid w:val="483B4302"/>
    <w:rsid w:val="48484DB3"/>
    <w:rsid w:val="48556DC9"/>
    <w:rsid w:val="48A37F2A"/>
    <w:rsid w:val="48B46493"/>
    <w:rsid w:val="490376AC"/>
    <w:rsid w:val="49211E1B"/>
    <w:rsid w:val="4939123F"/>
    <w:rsid w:val="4966461E"/>
    <w:rsid w:val="496F5372"/>
    <w:rsid w:val="49701B61"/>
    <w:rsid w:val="49A84F42"/>
    <w:rsid w:val="49DE7360"/>
    <w:rsid w:val="4A015C4F"/>
    <w:rsid w:val="4A0D227B"/>
    <w:rsid w:val="4A1D7CF7"/>
    <w:rsid w:val="4A2D5C6A"/>
    <w:rsid w:val="4A43745D"/>
    <w:rsid w:val="4A6812DE"/>
    <w:rsid w:val="4A710A8F"/>
    <w:rsid w:val="4A7E5FA5"/>
    <w:rsid w:val="4AD93A9A"/>
    <w:rsid w:val="4B4B31D8"/>
    <w:rsid w:val="4B4D7AA5"/>
    <w:rsid w:val="4B580AA3"/>
    <w:rsid w:val="4B8A79F7"/>
    <w:rsid w:val="4BC24F65"/>
    <w:rsid w:val="4BC541E3"/>
    <w:rsid w:val="4BD17304"/>
    <w:rsid w:val="4BD5537E"/>
    <w:rsid w:val="4BF85799"/>
    <w:rsid w:val="4BFD7A3C"/>
    <w:rsid w:val="4C227440"/>
    <w:rsid w:val="4C3B1363"/>
    <w:rsid w:val="4C491C6C"/>
    <w:rsid w:val="4C591023"/>
    <w:rsid w:val="4D240432"/>
    <w:rsid w:val="4D972D35"/>
    <w:rsid w:val="4DCC4DBE"/>
    <w:rsid w:val="4DCD0DBA"/>
    <w:rsid w:val="4DCD6201"/>
    <w:rsid w:val="4DCE09E4"/>
    <w:rsid w:val="4DD07B7F"/>
    <w:rsid w:val="4DF66CDF"/>
    <w:rsid w:val="4DF929A4"/>
    <w:rsid w:val="4DFB683B"/>
    <w:rsid w:val="4E256CBD"/>
    <w:rsid w:val="4E287734"/>
    <w:rsid w:val="4E575077"/>
    <w:rsid w:val="4E6558AB"/>
    <w:rsid w:val="4E700271"/>
    <w:rsid w:val="4E882D61"/>
    <w:rsid w:val="4E905991"/>
    <w:rsid w:val="4EA55C29"/>
    <w:rsid w:val="4EAB6C93"/>
    <w:rsid w:val="4EBF76F1"/>
    <w:rsid w:val="4ECD43F8"/>
    <w:rsid w:val="4EDB1D1C"/>
    <w:rsid w:val="4EFE45A5"/>
    <w:rsid w:val="4F076C2F"/>
    <w:rsid w:val="4F0A228E"/>
    <w:rsid w:val="4F0F14E0"/>
    <w:rsid w:val="4F110836"/>
    <w:rsid w:val="4F302F79"/>
    <w:rsid w:val="4F4344D2"/>
    <w:rsid w:val="4F4E06B4"/>
    <w:rsid w:val="4F5C1F08"/>
    <w:rsid w:val="4F7424C4"/>
    <w:rsid w:val="4F7C137A"/>
    <w:rsid w:val="4F9064A1"/>
    <w:rsid w:val="4F962C15"/>
    <w:rsid w:val="4FD013AE"/>
    <w:rsid w:val="4FE72FE0"/>
    <w:rsid w:val="506E137E"/>
    <w:rsid w:val="506E207D"/>
    <w:rsid w:val="508F0EB9"/>
    <w:rsid w:val="5093457A"/>
    <w:rsid w:val="509904DD"/>
    <w:rsid w:val="50AF148F"/>
    <w:rsid w:val="50EB647F"/>
    <w:rsid w:val="50F07308"/>
    <w:rsid w:val="5114509C"/>
    <w:rsid w:val="51344B96"/>
    <w:rsid w:val="51450414"/>
    <w:rsid w:val="514812D4"/>
    <w:rsid w:val="515E2727"/>
    <w:rsid w:val="51665BAD"/>
    <w:rsid w:val="51831779"/>
    <w:rsid w:val="519A5579"/>
    <w:rsid w:val="51A67E50"/>
    <w:rsid w:val="51AF7073"/>
    <w:rsid w:val="51E47DDD"/>
    <w:rsid w:val="52005309"/>
    <w:rsid w:val="525B0691"/>
    <w:rsid w:val="52616E81"/>
    <w:rsid w:val="52690188"/>
    <w:rsid w:val="528C1667"/>
    <w:rsid w:val="52A87476"/>
    <w:rsid w:val="52B24724"/>
    <w:rsid w:val="52CF6842"/>
    <w:rsid w:val="52EA71AC"/>
    <w:rsid w:val="52EF16D0"/>
    <w:rsid w:val="52FF5D02"/>
    <w:rsid w:val="53076371"/>
    <w:rsid w:val="532F07BD"/>
    <w:rsid w:val="53397DC3"/>
    <w:rsid w:val="533C58E9"/>
    <w:rsid w:val="53552D25"/>
    <w:rsid w:val="535B6F2F"/>
    <w:rsid w:val="536B5D46"/>
    <w:rsid w:val="536D6F80"/>
    <w:rsid w:val="537C418D"/>
    <w:rsid w:val="538D2FC3"/>
    <w:rsid w:val="53DB4029"/>
    <w:rsid w:val="53E12E08"/>
    <w:rsid w:val="53E13595"/>
    <w:rsid w:val="540A1C67"/>
    <w:rsid w:val="540C63A6"/>
    <w:rsid w:val="5428451E"/>
    <w:rsid w:val="543E2684"/>
    <w:rsid w:val="544555DA"/>
    <w:rsid w:val="545B1B8B"/>
    <w:rsid w:val="5462206E"/>
    <w:rsid w:val="5479041B"/>
    <w:rsid w:val="547B73F5"/>
    <w:rsid w:val="54B82931"/>
    <w:rsid w:val="54DA7842"/>
    <w:rsid w:val="54ED3977"/>
    <w:rsid w:val="5510764B"/>
    <w:rsid w:val="55206696"/>
    <w:rsid w:val="55207ED1"/>
    <w:rsid w:val="553F055B"/>
    <w:rsid w:val="556058C7"/>
    <w:rsid w:val="55850168"/>
    <w:rsid w:val="55877026"/>
    <w:rsid w:val="55C61DDD"/>
    <w:rsid w:val="55E04E96"/>
    <w:rsid w:val="55F322C5"/>
    <w:rsid w:val="5633736B"/>
    <w:rsid w:val="56734A0A"/>
    <w:rsid w:val="56944012"/>
    <w:rsid w:val="569D5897"/>
    <w:rsid w:val="56C454E4"/>
    <w:rsid w:val="56D72F1A"/>
    <w:rsid w:val="56E64717"/>
    <w:rsid w:val="56F74EEC"/>
    <w:rsid w:val="56F91133"/>
    <w:rsid w:val="56FF7F9A"/>
    <w:rsid w:val="575461F7"/>
    <w:rsid w:val="576E366D"/>
    <w:rsid w:val="579B1B61"/>
    <w:rsid w:val="57B56306"/>
    <w:rsid w:val="57F309F5"/>
    <w:rsid w:val="57FA760D"/>
    <w:rsid w:val="580C3A63"/>
    <w:rsid w:val="580C6858"/>
    <w:rsid w:val="583341D7"/>
    <w:rsid w:val="584F2F05"/>
    <w:rsid w:val="587E53CA"/>
    <w:rsid w:val="58910A00"/>
    <w:rsid w:val="58D069C8"/>
    <w:rsid w:val="58DA7B15"/>
    <w:rsid w:val="5911226D"/>
    <w:rsid w:val="59125525"/>
    <w:rsid w:val="593E671D"/>
    <w:rsid w:val="594B4F25"/>
    <w:rsid w:val="59600515"/>
    <w:rsid w:val="597C42FE"/>
    <w:rsid w:val="597F51DB"/>
    <w:rsid w:val="59800632"/>
    <w:rsid w:val="59A44656"/>
    <w:rsid w:val="59B03DD3"/>
    <w:rsid w:val="59C56FDD"/>
    <w:rsid w:val="59CC57D0"/>
    <w:rsid w:val="5A0129FC"/>
    <w:rsid w:val="5A143CFD"/>
    <w:rsid w:val="5A2703F4"/>
    <w:rsid w:val="5A2F0BF8"/>
    <w:rsid w:val="5A482088"/>
    <w:rsid w:val="5A5206DF"/>
    <w:rsid w:val="5A542C07"/>
    <w:rsid w:val="5A5439FA"/>
    <w:rsid w:val="5A6234E2"/>
    <w:rsid w:val="5A627549"/>
    <w:rsid w:val="5A7A75CE"/>
    <w:rsid w:val="5A8B3F59"/>
    <w:rsid w:val="5AB42FF7"/>
    <w:rsid w:val="5AC95812"/>
    <w:rsid w:val="5B161F0B"/>
    <w:rsid w:val="5B5A4066"/>
    <w:rsid w:val="5B7E3C58"/>
    <w:rsid w:val="5B9B6110"/>
    <w:rsid w:val="5BAA6402"/>
    <w:rsid w:val="5BC94012"/>
    <w:rsid w:val="5BD370B1"/>
    <w:rsid w:val="5BD66DE5"/>
    <w:rsid w:val="5BDF089D"/>
    <w:rsid w:val="5BE53467"/>
    <w:rsid w:val="5C0D7ACC"/>
    <w:rsid w:val="5C581354"/>
    <w:rsid w:val="5C594328"/>
    <w:rsid w:val="5C6313F0"/>
    <w:rsid w:val="5C7B58DA"/>
    <w:rsid w:val="5C8330B9"/>
    <w:rsid w:val="5CB8439F"/>
    <w:rsid w:val="5CDE3049"/>
    <w:rsid w:val="5CF13C91"/>
    <w:rsid w:val="5D0C5C8A"/>
    <w:rsid w:val="5D515BB8"/>
    <w:rsid w:val="5D656FEC"/>
    <w:rsid w:val="5D9725CD"/>
    <w:rsid w:val="5DBA20EA"/>
    <w:rsid w:val="5E3203DA"/>
    <w:rsid w:val="5E6F3CDF"/>
    <w:rsid w:val="5E7100B4"/>
    <w:rsid w:val="5E790703"/>
    <w:rsid w:val="5E7D59F4"/>
    <w:rsid w:val="5E8D2F34"/>
    <w:rsid w:val="5E9A35FD"/>
    <w:rsid w:val="5EAE1517"/>
    <w:rsid w:val="5EB712C1"/>
    <w:rsid w:val="5EFB1892"/>
    <w:rsid w:val="5F193EB5"/>
    <w:rsid w:val="5F2D5DD8"/>
    <w:rsid w:val="5F3E2DCA"/>
    <w:rsid w:val="5F481E7C"/>
    <w:rsid w:val="5F536AF7"/>
    <w:rsid w:val="5F5D7283"/>
    <w:rsid w:val="5F8A4EA6"/>
    <w:rsid w:val="5FAA35F5"/>
    <w:rsid w:val="5FD203AA"/>
    <w:rsid w:val="5FEA2C10"/>
    <w:rsid w:val="5FFF7A76"/>
    <w:rsid w:val="60557A31"/>
    <w:rsid w:val="605A326A"/>
    <w:rsid w:val="60612A21"/>
    <w:rsid w:val="609469F6"/>
    <w:rsid w:val="60B17ED6"/>
    <w:rsid w:val="60B72E35"/>
    <w:rsid w:val="60C51B55"/>
    <w:rsid w:val="610412AB"/>
    <w:rsid w:val="610E0276"/>
    <w:rsid w:val="61146018"/>
    <w:rsid w:val="611645C8"/>
    <w:rsid w:val="612D2A86"/>
    <w:rsid w:val="615B4C2C"/>
    <w:rsid w:val="616A1627"/>
    <w:rsid w:val="618D1647"/>
    <w:rsid w:val="61CB071B"/>
    <w:rsid w:val="620074A7"/>
    <w:rsid w:val="620C6FAD"/>
    <w:rsid w:val="62166846"/>
    <w:rsid w:val="621A40BA"/>
    <w:rsid w:val="622A7684"/>
    <w:rsid w:val="623814CE"/>
    <w:rsid w:val="623C404E"/>
    <w:rsid w:val="623F26A1"/>
    <w:rsid w:val="624A52E4"/>
    <w:rsid w:val="62605ABD"/>
    <w:rsid w:val="627C5D5C"/>
    <w:rsid w:val="62B62BAA"/>
    <w:rsid w:val="62D4361B"/>
    <w:rsid w:val="62DC1C0C"/>
    <w:rsid w:val="62ED52CD"/>
    <w:rsid w:val="62EF7F41"/>
    <w:rsid w:val="62F20A31"/>
    <w:rsid w:val="62FE6DCC"/>
    <w:rsid w:val="631E766C"/>
    <w:rsid w:val="631F149E"/>
    <w:rsid w:val="634F701D"/>
    <w:rsid w:val="6358478B"/>
    <w:rsid w:val="63915D2E"/>
    <w:rsid w:val="63EE0983"/>
    <w:rsid w:val="6432149C"/>
    <w:rsid w:val="643A7E5F"/>
    <w:rsid w:val="643C737B"/>
    <w:rsid w:val="64431941"/>
    <w:rsid w:val="644577F2"/>
    <w:rsid w:val="64674E53"/>
    <w:rsid w:val="646D3566"/>
    <w:rsid w:val="646D5912"/>
    <w:rsid w:val="649A155C"/>
    <w:rsid w:val="64AD61CC"/>
    <w:rsid w:val="64B85503"/>
    <w:rsid w:val="64C970A6"/>
    <w:rsid w:val="64CF7CDA"/>
    <w:rsid w:val="65006349"/>
    <w:rsid w:val="65360951"/>
    <w:rsid w:val="65461BCD"/>
    <w:rsid w:val="65504336"/>
    <w:rsid w:val="65775716"/>
    <w:rsid w:val="65AF56F5"/>
    <w:rsid w:val="65BF57CC"/>
    <w:rsid w:val="65D05282"/>
    <w:rsid w:val="65F1491B"/>
    <w:rsid w:val="660E65C5"/>
    <w:rsid w:val="662D4138"/>
    <w:rsid w:val="66332206"/>
    <w:rsid w:val="66883359"/>
    <w:rsid w:val="66B067C8"/>
    <w:rsid w:val="66BD61E4"/>
    <w:rsid w:val="66BF7E09"/>
    <w:rsid w:val="66CC79AA"/>
    <w:rsid w:val="67010918"/>
    <w:rsid w:val="670E693C"/>
    <w:rsid w:val="673378CE"/>
    <w:rsid w:val="67846164"/>
    <w:rsid w:val="6785212B"/>
    <w:rsid w:val="67B02B95"/>
    <w:rsid w:val="67C33A58"/>
    <w:rsid w:val="67D23C0A"/>
    <w:rsid w:val="67DB310E"/>
    <w:rsid w:val="680D75E6"/>
    <w:rsid w:val="680F7016"/>
    <w:rsid w:val="68185007"/>
    <w:rsid w:val="68335E16"/>
    <w:rsid w:val="68495412"/>
    <w:rsid w:val="68626578"/>
    <w:rsid w:val="68672FA3"/>
    <w:rsid w:val="6878017B"/>
    <w:rsid w:val="68985E1C"/>
    <w:rsid w:val="689B2E75"/>
    <w:rsid w:val="68C971EC"/>
    <w:rsid w:val="68F0240D"/>
    <w:rsid w:val="68F92632"/>
    <w:rsid w:val="69282E93"/>
    <w:rsid w:val="693F0B02"/>
    <w:rsid w:val="696570DE"/>
    <w:rsid w:val="696D3AEF"/>
    <w:rsid w:val="698C2ACB"/>
    <w:rsid w:val="69A44565"/>
    <w:rsid w:val="69A728D7"/>
    <w:rsid w:val="69AC570B"/>
    <w:rsid w:val="69DD42C0"/>
    <w:rsid w:val="69FC6B81"/>
    <w:rsid w:val="6A117834"/>
    <w:rsid w:val="6A136F90"/>
    <w:rsid w:val="6A295529"/>
    <w:rsid w:val="6A296D63"/>
    <w:rsid w:val="6A6224E5"/>
    <w:rsid w:val="6A9F63B8"/>
    <w:rsid w:val="6ABF4A93"/>
    <w:rsid w:val="6B3353E8"/>
    <w:rsid w:val="6B3C12E9"/>
    <w:rsid w:val="6B626827"/>
    <w:rsid w:val="6B727620"/>
    <w:rsid w:val="6B836DF1"/>
    <w:rsid w:val="6BC623F2"/>
    <w:rsid w:val="6BE23C62"/>
    <w:rsid w:val="6BEE7E87"/>
    <w:rsid w:val="6C0C1EB3"/>
    <w:rsid w:val="6C6C1100"/>
    <w:rsid w:val="6C8A3D77"/>
    <w:rsid w:val="6C8F70E9"/>
    <w:rsid w:val="6CC92E37"/>
    <w:rsid w:val="6D0B59B8"/>
    <w:rsid w:val="6D2F5F5A"/>
    <w:rsid w:val="6D6F4BFB"/>
    <w:rsid w:val="6D787FEA"/>
    <w:rsid w:val="6D79567B"/>
    <w:rsid w:val="6D8375D9"/>
    <w:rsid w:val="6DB31E43"/>
    <w:rsid w:val="6DBB6C34"/>
    <w:rsid w:val="6DC02C5E"/>
    <w:rsid w:val="6DD11EE3"/>
    <w:rsid w:val="6DE80A05"/>
    <w:rsid w:val="6DF407EB"/>
    <w:rsid w:val="6E1B1D0E"/>
    <w:rsid w:val="6E3A745D"/>
    <w:rsid w:val="6E3D2D94"/>
    <w:rsid w:val="6E4B5969"/>
    <w:rsid w:val="6E7111AF"/>
    <w:rsid w:val="6E766582"/>
    <w:rsid w:val="6EAE0577"/>
    <w:rsid w:val="6F0C6264"/>
    <w:rsid w:val="6F1C4342"/>
    <w:rsid w:val="6F1E0D93"/>
    <w:rsid w:val="6F3202F2"/>
    <w:rsid w:val="6F553135"/>
    <w:rsid w:val="6F5F41C5"/>
    <w:rsid w:val="6F6D0A37"/>
    <w:rsid w:val="6F743F4A"/>
    <w:rsid w:val="6FAC569B"/>
    <w:rsid w:val="6FD839C1"/>
    <w:rsid w:val="6FD937A1"/>
    <w:rsid w:val="6FDF5CB9"/>
    <w:rsid w:val="6FE2229E"/>
    <w:rsid w:val="6FFE24A2"/>
    <w:rsid w:val="700F050B"/>
    <w:rsid w:val="70106B81"/>
    <w:rsid w:val="70455252"/>
    <w:rsid w:val="7066258D"/>
    <w:rsid w:val="70966B9D"/>
    <w:rsid w:val="70A86705"/>
    <w:rsid w:val="70B63CBE"/>
    <w:rsid w:val="70B76483"/>
    <w:rsid w:val="70D03BFD"/>
    <w:rsid w:val="70E3261D"/>
    <w:rsid w:val="710D17E7"/>
    <w:rsid w:val="710E7E97"/>
    <w:rsid w:val="712602BF"/>
    <w:rsid w:val="71574160"/>
    <w:rsid w:val="719B5F30"/>
    <w:rsid w:val="719C199B"/>
    <w:rsid w:val="71D13878"/>
    <w:rsid w:val="71E8095E"/>
    <w:rsid w:val="71FD3EDC"/>
    <w:rsid w:val="71FE5F96"/>
    <w:rsid w:val="721B14FF"/>
    <w:rsid w:val="72615E4D"/>
    <w:rsid w:val="72630282"/>
    <w:rsid w:val="728225B9"/>
    <w:rsid w:val="72984FCA"/>
    <w:rsid w:val="72A537BB"/>
    <w:rsid w:val="72BE1F7B"/>
    <w:rsid w:val="72FE2E35"/>
    <w:rsid w:val="731163F0"/>
    <w:rsid w:val="731B1F4E"/>
    <w:rsid w:val="732B5930"/>
    <w:rsid w:val="733C57F0"/>
    <w:rsid w:val="7350369C"/>
    <w:rsid w:val="73627FF9"/>
    <w:rsid w:val="737A2CB8"/>
    <w:rsid w:val="738A3926"/>
    <w:rsid w:val="739A44B0"/>
    <w:rsid w:val="73DB0753"/>
    <w:rsid w:val="73E47FAB"/>
    <w:rsid w:val="73F446E1"/>
    <w:rsid w:val="73F65723"/>
    <w:rsid w:val="740E48E9"/>
    <w:rsid w:val="742158CA"/>
    <w:rsid w:val="74487C51"/>
    <w:rsid w:val="745D0D34"/>
    <w:rsid w:val="74630219"/>
    <w:rsid w:val="746672DC"/>
    <w:rsid w:val="74A14996"/>
    <w:rsid w:val="75027F0B"/>
    <w:rsid w:val="751B471B"/>
    <w:rsid w:val="751B52F7"/>
    <w:rsid w:val="751D7B9D"/>
    <w:rsid w:val="75282EDE"/>
    <w:rsid w:val="754A695B"/>
    <w:rsid w:val="758A352C"/>
    <w:rsid w:val="75BC7576"/>
    <w:rsid w:val="75DE273F"/>
    <w:rsid w:val="75E46C94"/>
    <w:rsid w:val="76280E8D"/>
    <w:rsid w:val="762A5148"/>
    <w:rsid w:val="76333AF7"/>
    <w:rsid w:val="76341B67"/>
    <w:rsid w:val="766D48F8"/>
    <w:rsid w:val="76892352"/>
    <w:rsid w:val="76A36A19"/>
    <w:rsid w:val="76B35568"/>
    <w:rsid w:val="76D43EA5"/>
    <w:rsid w:val="76E15234"/>
    <w:rsid w:val="76E57751"/>
    <w:rsid w:val="76F50490"/>
    <w:rsid w:val="77494FBC"/>
    <w:rsid w:val="774C5B17"/>
    <w:rsid w:val="776D6F96"/>
    <w:rsid w:val="77AF6231"/>
    <w:rsid w:val="77B71362"/>
    <w:rsid w:val="77C70B1C"/>
    <w:rsid w:val="77D17C20"/>
    <w:rsid w:val="77D5191C"/>
    <w:rsid w:val="77E02B35"/>
    <w:rsid w:val="77FB43B8"/>
    <w:rsid w:val="78246CEE"/>
    <w:rsid w:val="78426EA7"/>
    <w:rsid w:val="7848320A"/>
    <w:rsid w:val="78512D5A"/>
    <w:rsid w:val="788A48B0"/>
    <w:rsid w:val="789F27C8"/>
    <w:rsid w:val="78A927BC"/>
    <w:rsid w:val="78FB5F0C"/>
    <w:rsid w:val="7900532B"/>
    <w:rsid w:val="790E7658"/>
    <w:rsid w:val="79281448"/>
    <w:rsid w:val="792C0C3D"/>
    <w:rsid w:val="79570162"/>
    <w:rsid w:val="79575EF9"/>
    <w:rsid w:val="79AA08AF"/>
    <w:rsid w:val="79C637F9"/>
    <w:rsid w:val="79E42F97"/>
    <w:rsid w:val="7A4E3061"/>
    <w:rsid w:val="7A563C92"/>
    <w:rsid w:val="7AFB66ED"/>
    <w:rsid w:val="7B032ED5"/>
    <w:rsid w:val="7B1368E0"/>
    <w:rsid w:val="7B1B6DFE"/>
    <w:rsid w:val="7B3078B1"/>
    <w:rsid w:val="7B526246"/>
    <w:rsid w:val="7B623EC3"/>
    <w:rsid w:val="7B775C4B"/>
    <w:rsid w:val="7BB44AC5"/>
    <w:rsid w:val="7BF76DB6"/>
    <w:rsid w:val="7C037440"/>
    <w:rsid w:val="7C2416B9"/>
    <w:rsid w:val="7C242A76"/>
    <w:rsid w:val="7C3F6CC2"/>
    <w:rsid w:val="7C4E7B8F"/>
    <w:rsid w:val="7C673D0C"/>
    <w:rsid w:val="7C712591"/>
    <w:rsid w:val="7C870107"/>
    <w:rsid w:val="7C8E009F"/>
    <w:rsid w:val="7CC93B08"/>
    <w:rsid w:val="7CDB28FB"/>
    <w:rsid w:val="7CF34E81"/>
    <w:rsid w:val="7D1F758A"/>
    <w:rsid w:val="7D345C43"/>
    <w:rsid w:val="7D565EA6"/>
    <w:rsid w:val="7D62204F"/>
    <w:rsid w:val="7D79500A"/>
    <w:rsid w:val="7D7C3BD7"/>
    <w:rsid w:val="7D954D64"/>
    <w:rsid w:val="7DCC3003"/>
    <w:rsid w:val="7DCF30F2"/>
    <w:rsid w:val="7DD933CC"/>
    <w:rsid w:val="7DE06AD4"/>
    <w:rsid w:val="7DEC6F01"/>
    <w:rsid w:val="7E4230E7"/>
    <w:rsid w:val="7E465643"/>
    <w:rsid w:val="7E62023E"/>
    <w:rsid w:val="7E6965BA"/>
    <w:rsid w:val="7E6B730B"/>
    <w:rsid w:val="7E9978A2"/>
    <w:rsid w:val="7EA43677"/>
    <w:rsid w:val="7EAF7F01"/>
    <w:rsid w:val="7EB44D71"/>
    <w:rsid w:val="7EBF535B"/>
    <w:rsid w:val="7F23122B"/>
    <w:rsid w:val="7F4A12EA"/>
    <w:rsid w:val="7FD95CED"/>
    <w:rsid w:val="7FF77E0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qFormat="1" w:unhideWhenUsed="0" w:uiPriority="0" w:name="endnote reference"/>
    <w:lsdException w:qFormat="1" w:unhideWhenUsed="0" w:uiPriority="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2">
    <w:name w:val="Default Paragraph Font"/>
    <w:semiHidden/>
    <w:qFormat/>
    <w:uiPriority w:val="0"/>
  </w:style>
  <w:style w:type="table" w:default="1" w:styleId="30">
    <w:name w:val="Normal Table"/>
    <w:semiHidden/>
    <w:qFormat/>
    <w:uiPriority w:val="0"/>
    <w:tblPr>
      <w:tblCellMar>
        <w:top w:w="0" w:type="dxa"/>
        <w:left w:w="108" w:type="dxa"/>
        <w:bottom w:w="0" w:type="dxa"/>
        <w:right w:w="108" w:type="dxa"/>
      </w:tblCellMar>
    </w:tblPr>
  </w:style>
  <w:style w:type="paragraph" w:styleId="2">
    <w:name w:val="toc 7"/>
    <w:basedOn w:val="1"/>
    <w:next w:val="1"/>
    <w:semiHidden/>
    <w:qFormat/>
    <w:uiPriority w:val="0"/>
    <w:pPr>
      <w:tabs>
        <w:tab w:val="right" w:leader="dot" w:pos="9241"/>
      </w:tabs>
      <w:ind w:firstLine="500" w:firstLineChars="500"/>
      <w:jc w:val="left"/>
    </w:pPr>
    <w:rPr>
      <w:rFonts w:ascii="宋体"/>
      <w:szCs w:val="21"/>
    </w:rPr>
  </w:style>
  <w:style w:type="paragraph" w:styleId="3">
    <w:name w:val="index 8"/>
    <w:basedOn w:val="1"/>
    <w:next w:val="1"/>
    <w:qFormat/>
    <w:uiPriority w:val="0"/>
    <w:pPr>
      <w:ind w:left="1680" w:hanging="210"/>
      <w:jc w:val="left"/>
    </w:pPr>
    <w:rPr>
      <w:rFonts w:ascii="Calibri" w:hAnsi="Calibri"/>
      <w:sz w:val="20"/>
      <w:szCs w:val="20"/>
    </w:rPr>
  </w:style>
  <w:style w:type="paragraph" w:styleId="4">
    <w:name w:val="caption"/>
    <w:basedOn w:val="1"/>
    <w:next w:val="1"/>
    <w:qFormat/>
    <w:uiPriority w:val="0"/>
    <w:pPr>
      <w:spacing w:before="152" w:after="160"/>
    </w:pPr>
    <w:rPr>
      <w:rFonts w:ascii="Arial" w:hAnsi="Arial" w:eastAsia="黑体" w:cs="Arial"/>
      <w:sz w:val="20"/>
      <w:szCs w:val="20"/>
    </w:rPr>
  </w:style>
  <w:style w:type="paragraph" w:styleId="5">
    <w:name w:val="index 5"/>
    <w:basedOn w:val="1"/>
    <w:next w:val="1"/>
    <w:qFormat/>
    <w:uiPriority w:val="0"/>
    <w:pPr>
      <w:ind w:left="1050" w:hanging="210"/>
      <w:jc w:val="left"/>
    </w:pPr>
    <w:rPr>
      <w:rFonts w:ascii="Calibri" w:hAnsi="Calibri"/>
      <w:sz w:val="20"/>
      <w:szCs w:val="20"/>
    </w:rPr>
  </w:style>
  <w:style w:type="paragraph" w:styleId="6">
    <w:name w:val="Document Map"/>
    <w:basedOn w:val="1"/>
    <w:semiHidden/>
    <w:qFormat/>
    <w:uiPriority w:val="0"/>
    <w:pPr>
      <w:shd w:val="clear" w:color="auto" w:fill="000080"/>
    </w:pPr>
  </w:style>
  <w:style w:type="paragraph" w:styleId="7">
    <w:name w:val="annotation text"/>
    <w:basedOn w:val="1"/>
    <w:qFormat/>
    <w:uiPriority w:val="0"/>
    <w:pPr>
      <w:jc w:val="left"/>
    </w:pPr>
  </w:style>
  <w:style w:type="paragraph" w:styleId="8">
    <w:name w:val="index 6"/>
    <w:basedOn w:val="1"/>
    <w:next w:val="1"/>
    <w:qFormat/>
    <w:uiPriority w:val="0"/>
    <w:pPr>
      <w:ind w:left="1260" w:hanging="210"/>
      <w:jc w:val="left"/>
    </w:pPr>
    <w:rPr>
      <w:rFonts w:ascii="Calibri" w:hAnsi="Calibri"/>
      <w:sz w:val="20"/>
      <w:szCs w:val="20"/>
    </w:rPr>
  </w:style>
  <w:style w:type="paragraph" w:styleId="9">
    <w:name w:val="index 4"/>
    <w:basedOn w:val="1"/>
    <w:next w:val="1"/>
    <w:qFormat/>
    <w:uiPriority w:val="0"/>
    <w:pPr>
      <w:ind w:left="840" w:hanging="210"/>
      <w:jc w:val="left"/>
    </w:pPr>
    <w:rPr>
      <w:rFonts w:ascii="Calibri" w:hAnsi="Calibri"/>
      <w:sz w:val="20"/>
      <w:szCs w:val="20"/>
    </w:rPr>
  </w:style>
  <w:style w:type="paragraph" w:styleId="10">
    <w:name w:val="toc 5"/>
    <w:basedOn w:val="1"/>
    <w:next w:val="1"/>
    <w:semiHidden/>
    <w:qFormat/>
    <w:uiPriority w:val="0"/>
    <w:pPr>
      <w:tabs>
        <w:tab w:val="right" w:leader="dot" w:pos="9241"/>
      </w:tabs>
      <w:ind w:firstLine="300" w:firstLineChars="300"/>
      <w:jc w:val="left"/>
    </w:pPr>
    <w:rPr>
      <w:rFonts w:ascii="宋体"/>
      <w:szCs w:val="21"/>
    </w:rPr>
  </w:style>
  <w:style w:type="paragraph" w:styleId="11">
    <w:name w:val="toc 3"/>
    <w:basedOn w:val="1"/>
    <w:next w:val="1"/>
    <w:semiHidden/>
    <w:qFormat/>
    <w:uiPriority w:val="0"/>
    <w:pPr>
      <w:tabs>
        <w:tab w:val="right" w:leader="dot" w:pos="9241"/>
      </w:tabs>
      <w:ind w:firstLine="100" w:firstLineChars="100"/>
      <w:jc w:val="left"/>
    </w:pPr>
    <w:rPr>
      <w:rFonts w:ascii="宋体"/>
      <w:szCs w:val="21"/>
    </w:rPr>
  </w:style>
  <w:style w:type="paragraph" w:styleId="12">
    <w:name w:val="toc 8"/>
    <w:basedOn w:val="1"/>
    <w:next w:val="1"/>
    <w:semiHidden/>
    <w:qFormat/>
    <w:uiPriority w:val="0"/>
    <w:pPr>
      <w:tabs>
        <w:tab w:val="right" w:leader="dot" w:pos="9241"/>
      </w:tabs>
      <w:ind w:firstLine="607" w:firstLineChars="600"/>
      <w:jc w:val="left"/>
    </w:pPr>
    <w:rPr>
      <w:rFonts w:ascii="宋体"/>
      <w:szCs w:val="21"/>
    </w:rPr>
  </w:style>
  <w:style w:type="paragraph" w:styleId="13">
    <w:name w:val="index 3"/>
    <w:basedOn w:val="1"/>
    <w:next w:val="1"/>
    <w:qFormat/>
    <w:uiPriority w:val="0"/>
    <w:pPr>
      <w:ind w:left="630" w:hanging="210"/>
      <w:jc w:val="left"/>
    </w:pPr>
    <w:rPr>
      <w:rFonts w:ascii="Calibri" w:hAnsi="Calibri"/>
      <w:sz w:val="20"/>
      <w:szCs w:val="20"/>
    </w:rPr>
  </w:style>
  <w:style w:type="paragraph" w:styleId="14">
    <w:name w:val="endnote text"/>
    <w:basedOn w:val="1"/>
    <w:semiHidden/>
    <w:qFormat/>
    <w:uiPriority w:val="0"/>
    <w:pPr>
      <w:snapToGrid w:val="0"/>
      <w:jc w:val="left"/>
    </w:pPr>
  </w:style>
  <w:style w:type="paragraph" w:styleId="15">
    <w:name w:val="footer"/>
    <w:basedOn w:val="1"/>
    <w:qFormat/>
    <w:uiPriority w:val="0"/>
    <w:pPr>
      <w:snapToGrid w:val="0"/>
      <w:ind w:right="210" w:rightChars="100"/>
      <w:jc w:val="right"/>
    </w:pPr>
    <w:rPr>
      <w:sz w:val="18"/>
      <w:szCs w:val="18"/>
    </w:rPr>
  </w:style>
  <w:style w:type="paragraph" w:styleId="16">
    <w:name w:val="header"/>
    <w:basedOn w:val="1"/>
    <w:qFormat/>
    <w:uiPriority w:val="0"/>
    <w:pPr>
      <w:snapToGrid w:val="0"/>
      <w:jc w:val="left"/>
    </w:pPr>
    <w:rPr>
      <w:sz w:val="18"/>
      <w:szCs w:val="18"/>
    </w:rPr>
  </w:style>
  <w:style w:type="paragraph" w:styleId="17">
    <w:name w:val="toc 1"/>
    <w:basedOn w:val="1"/>
    <w:next w:val="1"/>
    <w:semiHidden/>
    <w:qFormat/>
    <w:uiPriority w:val="0"/>
    <w:pPr>
      <w:tabs>
        <w:tab w:val="right" w:leader="dot" w:pos="9242"/>
      </w:tabs>
      <w:spacing w:before="25" w:beforeLines="25" w:after="25" w:afterLines="25"/>
      <w:jc w:val="left"/>
    </w:pPr>
    <w:rPr>
      <w:rFonts w:ascii="宋体"/>
      <w:szCs w:val="21"/>
    </w:rPr>
  </w:style>
  <w:style w:type="paragraph" w:styleId="18">
    <w:name w:val="toc 4"/>
    <w:basedOn w:val="1"/>
    <w:next w:val="1"/>
    <w:semiHidden/>
    <w:qFormat/>
    <w:uiPriority w:val="0"/>
    <w:pPr>
      <w:tabs>
        <w:tab w:val="right" w:leader="dot" w:pos="9241"/>
      </w:tabs>
      <w:ind w:firstLine="200" w:firstLineChars="200"/>
      <w:jc w:val="left"/>
    </w:pPr>
    <w:rPr>
      <w:rFonts w:ascii="宋体"/>
      <w:szCs w:val="21"/>
    </w:rPr>
  </w:style>
  <w:style w:type="paragraph" w:styleId="19">
    <w:name w:val="index heading"/>
    <w:basedOn w:val="1"/>
    <w:next w:val="20"/>
    <w:qFormat/>
    <w:uiPriority w:val="0"/>
    <w:pPr>
      <w:spacing w:before="120" w:after="120"/>
      <w:jc w:val="center"/>
    </w:pPr>
    <w:rPr>
      <w:rFonts w:ascii="Calibri" w:hAnsi="Calibri"/>
      <w:b/>
      <w:bCs/>
      <w:iCs/>
      <w:szCs w:val="20"/>
    </w:rPr>
  </w:style>
  <w:style w:type="paragraph" w:styleId="20">
    <w:name w:val="index 1"/>
    <w:basedOn w:val="1"/>
    <w:next w:val="21"/>
    <w:qFormat/>
    <w:uiPriority w:val="0"/>
    <w:pPr>
      <w:tabs>
        <w:tab w:val="right" w:leader="dot" w:pos="9299"/>
      </w:tabs>
      <w:jc w:val="left"/>
    </w:pPr>
    <w:rPr>
      <w:rFonts w:ascii="宋体"/>
      <w:szCs w:val="21"/>
    </w:rPr>
  </w:style>
  <w:style w:type="paragraph" w:customStyle="1" w:styleId="21">
    <w:name w:val="段"/>
    <w:link w:val="132"/>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22">
    <w:name w:val="footnote text"/>
    <w:basedOn w:val="1"/>
    <w:qFormat/>
    <w:uiPriority w:val="0"/>
    <w:pPr>
      <w:numPr>
        <w:ilvl w:val="0"/>
        <w:numId w:val="1"/>
      </w:numPr>
      <w:snapToGrid w:val="0"/>
      <w:jc w:val="left"/>
    </w:pPr>
    <w:rPr>
      <w:rFonts w:ascii="宋体"/>
      <w:sz w:val="18"/>
      <w:szCs w:val="18"/>
    </w:rPr>
  </w:style>
  <w:style w:type="paragraph" w:styleId="23">
    <w:name w:val="toc 6"/>
    <w:basedOn w:val="1"/>
    <w:next w:val="1"/>
    <w:semiHidden/>
    <w:qFormat/>
    <w:uiPriority w:val="0"/>
    <w:pPr>
      <w:tabs>
        <w:tab w:val="right" w:leader="dot" w:pos="9241"/>
      </w:tabs>
      <w:ind w:firstLine="400" w:firstLineChars="400"/>
      <w:jc w:val="left"/>
    </w:pPr>
    <w:rPr>
      <w:rFonts w:ascii="宋体"/>
      <w:szCs w:val="21"/>
    </w:rPr>
  </w:style>
  <w:style w:type="paragraph" w:styleId="24">
    <w:name w:val="index 7"/>
    <w:basedOn w:val="1"/>
    <w:next w:val="1"/>
    <w:qFormat/>
    <w:uiPriority w:val="0"/>
    <w:pPr>
      <w:ind w:left="1470" w:hanging="210"/>
      <w:jc w:val="left"/>
    </w:pPr>
    <w:rPr>
      <w:rFonts w:ascii="Calibri" w:hAnsi="Calibri"/>
      <w:sz w:val="20"/>
      <w:szCs w:val="20"/>
    </w:rPr>
  </w:style>
  <w:style w:type="paragraph" w:styleId="25">
    <w:name w:val="index 9"/>
    <w:basedOn w:val="1"/>
    <w:next w:val="1"/>
    <w:qFormat/>
    <w:uiPriority w:val="0"/>
    <w:pPr>
      <w:ind w:left="1890" w:hanging="210"/>
      <w:jc w:val="left"/>
    </w:pPr>
    <w:rPr>
      <w:rFonts w:ascii="Calibri" w:hAnsi="Calibri"/>
      <w:sz w:val="20"/>
      <w:szCs w:val="20"/>
    </w:rPr>
  </w:style>
  <w:style w:type="paragraph" w:styleId="26">
    <w:name w:val="toc 2"/>
    <w:basedOn w:val="1"/>
    <w:next w:val="1"/>
    <w:semiHidden/>
    <w:qFormat/>
    <w:uiPriority w:val="0"/>
    <w:pPr>
      <w:tabs>
        <w:tab w:val="right" w:leader="dot" w:pos="9242"/>
      </w:tabs>
    </w:pPr>
    <w:rPr>
      <w:rFonts w:ascii="宋体"/>
      <w:szCs w:val="21"/>
    </w:rPr>
  </w:style>
  <w:style w:type="paragraph" w:styleId="27">
    <w:name w:val="toc 9"/>
    <w:basedOn w:val="1"/>
    <w:next w:val="1"/>
    <w:semiHidden/>
    <w:qFormat/>
    <w:uiPriority w:val="0"/>
    <w:pPr>
      <w:ind w:left="1470"/>
      <w:jc w:val="left"/>
    </w:pPr>
    <w:rPr>
      <w:sz w:val="20"/>
      <w:szCs w:val="20"/>
    </w:rPr>
  </w:style>
  <w:style w:type="paragraph" w:styleId="28">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29">
    <w:name w:val="index 2"/>
    <w:basedOn w:val="1"/>
    <w:next w:val="1"/>
    <w:qFormat/>
    <w:uiPriority w:val="0"/>
    <w:pPr>
      <w:ind w:left="420" w:hanging="210"/>
      <w:jc w:val="left"/>
    </w:pPr>
    <w:rPr>
      <w:rFonts w:ascii="Calibri" w:hAnsi="Calibri"/>
      <w:sz w:val="20"/>
      <w:szCs w:val="20"/>
    </w:rPr>
  </w:style>
  <w:style w:type="table" w:styleId="31">
    <w:name w:val="Table Grid"/>
    <w:basedOn w:val="30"/>
    <w:qFormat/>
    <w:uiPriority w:val="0"/>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33">
    <w:name w:val="Strong"/>
    <w:basedOn w:val="32"/>
    <w:qFormat/>
    <w:uiPriority w:val="0"/>
    <w:rPr>
      <w:b/>
    </w:rPr>
  </w:style>
  <w:style w:type="character" w:styleId="34">
    <w:name w:val="endnote reference"/>
    <w:basedOn w:val="32"/>
    <w:semiHidden/>
    <w:qFormat/>
    <w:uiPriority w:val="0"/>
    <w:rPr>
      <w:vertAlign w:val="superscript"/>
    </w:rPr>
  </w:style>
  <w:style w:type="character" w:styleId="35">
    <w:name w:val="page number"/>
    <w:basedOn w:val="32"/>
    <w:qFormat/>
    <w:uiPriority w:val="0"/>
    <w:rPr>
      <w:rFonts w:ascii="Times New Roman" w:hAnsi="Times New Roman" w:eastAsia="宋体"/>
      <w:sz w:val="18"/>
    </w:rPr>
  </w:style>
  <w:style w:type="character" w:styleId="36">
    <w:name w:val="FollowedHyperlink"/>
    <w:basedOn w:val="32"/>
    <w:qFormat/>
    <w:uiPriority w:val="0"/>
    <w:rPr>
      <w:color w:val="800080"/>
      <w:u w:val="single"/>
    </w:rPr>
  </w:style>
  <w:style w:type="character" w:styleId="37">
    <w:name w:val="Hyperlink"/>
    <w:basedOn w:val="32"/>
    <w:qFormat/>
    <w:uiPriority w:val="0"/>
    <w:rPr>
      <w:color w:val="0000FF"/>
      <w:spacing w:val="0"/>
      <w:w w:val="100"/>
      <w:szCs w:val="21"/>
      <w:u w:val="single"/>
    </w:rPr>
  </w:style>
  <w:style w:type="character" w:styleId="38">
    <w:name w:val="annotation reference"/>
    <w:basedOn w:val="32"/>
    <w:qFormat/>
    <w:uiPriority w:val="0"/>
    <w:rPr>
      <w:sz w:val="21"/>
      <w:szCs w:val="21"/>
    </w:rPr>
  </w:style>
  <w:style w:type="character" w:styleId="39">
    <w:name w:val="footnote reference"/>
    <w:basedOn w:val="32"/>
    <w:semiHidden/>
    <w:qFormat/>
    <w:uiPriority w:val="0"/>
    <w:rPr>
      <w:vertAlign w:val="superscript"/>
    </w:rPr>
  </w:style>
  <w:style w:type="paragraph" w:customStyle="1" w:styleId="40">
    <w:name w:val="附录标识"/>
    <w:basedOn w:val="1"/>
    <w:next w:val="21"/>
    <w:qFormat/>
    <w:uiPriority w:val="0"/>
    <w:pPr>
      <w:keepNext/>
      <w:widowControl/>
      <w:numPr>
        <w:ilvl w:val="0"/>
        <w:numId w:val="2"/>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41">
    <w:name w:val="注："/>
    <w:next w:val="21"/>
    <w:qFormat/>
    <w:uiPriority w:val="0"/>
    <w:pPr>
      <w:widowControl w:val="0"/>
      <w:numPr>
        <w:ilvl w:val="0"/>
        <w:numId w:val="3"/>
      </w:numPr>
      <w:autoSpaceDE w:val="0"/>
      <w:autoSpaceDN w:val="0"/>
      <w:jc w:val="both"/>
    </w:pPr>
    <w:rPr>
      <w:rFonts w:ascii="宋体" w:hAnsi="Times New Roman" w:eastAsia="宋体" w:cs="Times New Roman"/>
      <w:sz w:val="18"/>
      <w:szCs w:val="18"/>
      <w:lang w:val="en-US" w:eastAsia="zh-CN" w:bidi="ar-SA"/>
    </w:rPr>
  </w:style>
  <w:style w:type="paragraph" w:customStyle="1" w:styleId="42">
    <w:name w:val="标准书眉_偶数页"/>
    <w:basedOn w:val="43"/>
    <w:next w:val="1"/>
    <w:qFormat/>
    <w:uiPriority w:val="0"/>
    <w:pPr>
      <w:tabs>
        <w:tab w:val="center" w:pos="4154"/>
        <w:tab w:val="right" w:pos="8306"/>
      </w:tabs>
      <w:jc w:val="left"/>
    </w:pPr>
    <w:rPr>
      <w:rFonts w:ascii="黑体" w:eastAsia="黑体"/>
    </w:rPr>
  </w:style>
  <w:style w:type="paragraph" w:customStyle="1" w:styleId="43">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44">
    <w:name w:val="其他标准标志"/>
    <w:basedOn w:val="45"/>
    <w:qFormat/>
    <w:uiPriority w:val="0"/>
    <w:pPr>
      <w:framePr w:w="6101" w:vAnchor="page" w:hAnchor="page" w:x="4673" w:y="942"/>
    </w:pPr>
    <w:rPr>
      <w:w w:val="130"/>
    </w:rPr>
  </w:style>
  <w:style w:type="paragraph" w:customStyle="1" w:styleId="45">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46">
    <w:name w:val="数字编号列项（二级）"/>
    <w:qFormat/>
    <w:uiPriority w:val="0"/>
    <w:pPr>
      <w:numPr>
        <w:ilvl w:val="1"/>
        <w:numId w:val="4"/>
      </w:numPr>
      <w:jc w:val="both"/>
    </w:pPr>
    <w:rPr>
      <w:rFonts w:ascii="宋体" w:hAnsi="Times New Roman" w:eastAsia="宋体" w:cs="Times New Roman"/>
      <w:sz w:val="21"/>
      <w:lang w:val="en-US" w:eastAsia="zh-CN" w:bidi="ar-SA"/>
    </w:rPr>
  </w:style>
  <w:style w:type="paragraph" w:customStyle="1" w:styleId="47">
    <w:name w:val="四级无"/>
    <w:basedOn w:val="48"/>
    <w:qFormat/>
    <w:uiPriority w:val="0"/>
    <w:pPr>
      <w:spacing w:before="0" w:beforeLines="0" w:after="0" w:afterLines="0"/>
    </w:pPr>
    <w:rPr>
      <w:rFonts w:ascii="宋体" w:eastAsia="宋体"/>
    </w:rPr>
  </w:style>
  <w:style w:type="paragraph" w:customStyle="1" w:styleId="48">
    <w:name w:val="四级条标题"/>
    <w:basedOn w:val="49"/>
    <w:next w:val="21"/>
    <w:qFormat/>
    <w:uiPriority w:val="0"/>
    <w:pPr>
      <w:numPr>
        <w:ilvl w:val="4"/>
        <w:numId w:val="5"/>
      </w:numPr>
      <w:outlineLvl w:val="5"/>
    </w:pPr>
  </w:style>
  <w:style w:type="paragraph" w:customStyle="1" w:styleId="49">
    <w:name w:val="三级条标题"/>
    <w:basedOn w:val="50"/>
    <w:next w:val="21"/>
    <w:qFormat/>
    <w:uiPriority w:val="0"/>
    <w:pPr>
      <w:numPr>
        <w:ilvl w:val="3"/>
        <w:numId w:val="5"/>
      </w:numPr>
      <w:outlineLvl w:val="4"/>
    </w:pPr>
  </w:style>
  <w:style w:type="paragraph" w:customStyle="1" w:styleId="50">
    <w:name w:val="二级条标题"/>
    <w:basedOn w:val="51"/>
    <w:next w:val="21"/>
    <w:qFormat/>
    <w:uiPriority w:val="0"/>
    <w:pPr>
      <w:numPr>
        <w:ilvl w:val="2"/>
        <w:numId w:val="5"/>
      </w:numPr>
      <w:spacing w:before="50" w:after="50"/>
      <w:outlineLvl w:val="3"/>
    </w:pPr>
  </w:style>
  <w:style w:type="paragraph" w:customStyle="1" w:styleId="51">
    <w:name w:val="一级条标题"/>
    <w:next w:val="21"/>
    <w:qFormat/>
    <w:uiPriority w:val="0"/>
    <w:pPr>
      <w:numPr>
        <w:ilvl w:val="1"/>
        <w:numId w:val="5"/>
      </w:numPr>
      <w:spacing w:before="156" w:beforeLines="50" w:after="156" w:afterLines="50"/>
      <w:outlineLvl w:val="2"/>
    </w:pPr>
    <w:rPr>
      <w:rFonts w:ascii="黑体" w:hAnsi="Times New Roman" w:eastAsia="黑体" w:cs="Times New Roman"/>
      <w:sz w:val="21"/>
      <w:szCs w:val="21"/>
      <w:lang w:val="en-US" w:eastAsia="zh-CN" w:bidi="ar-SA"/>
    </w:rPr>
  </w:style>
  <w:style w:type="paragraph" w:customStyle="1" w:styleId="52">
    <w:name w:val="列项●（二级）"/>
    <w:qFormat/>
    <w:uiPriority w:val="0"/>
    <w:pPr>
      <w:numPr>
        <w:ilvl w:val="1"/>
        <w:numId w:val="6"/>
      </w:numPr>
      <w:tabs>
        <w:tab w:val="left" w:pos="840"/>
      </w:tabs>
      <w:jc w:val="both"/>
    </w:pPr>
    <w:rPr>
      <w:rFonts w:ascii="宋体" w:hAnsi="Times New Roman" w:eastAsia="宋体" w:cs="Times New Roman"/>
      <w:sz w:val="21"/>
      <w:lang w:val="en-US" w:eastAsia="zh-CN" w:bidi="ar-SA"/>
    </w:rPr>
  </w:style>
  <w:style w:type="paragraph" w:customStyle="1" w:styleId="53">
    <w:name w:val="正文表标题"/>
    <w:next w:val="21"/>
    <w:qFormat/>
    <w:uiPriority w:val="0"/>
    <w:pPr>
      <w:numPr>
        <w:ilvl w:val="0"/>
        <w:numId w:val="7"/>
      </w:numPr>
      <w:tabs>
        <w:tab w:val="left" w:pos="360"/>
      </w:tabs>
      <w:spacing w:before="156" w:beforeLines="50" w:after="156" w:afterLines="50"/>
      <w:jc w:val="center"/>
    </w:pPr>
    <w:rPr>
      <w:rFonts w:ascii="黑体" w:hAnsi="Times New Roman" w:eastAsia="黑体" w:cs="Times New Roman"/>
      <w:sz w:val="21"/>
      <w:lang w:val="en-US" w:eastAsia="zh-CN" w:bidi="ar-SA"/>
    </w:rPr>
  </w:style>
  <w:style w:type="paragraph" w:customStyle="1" w:styleId="54">
    <w:name w:val="五级条标题"/>
    <w:basedOn w:val="48"/>
    <w:next w:val="21"/>
    <w:qFormat/>
    <w:uiPriority w:val="0"/>
    <w:pPr>
      <w:numPr>
        <w:ilvl w:val="5"/>
        <w:numId w:val="5"/>
      </w:numPr>
      <w:outlineLvl w:val="6"/>
    </w:pPr>
  </w:style>
  <w:style w:type="paragraph" w:customStyle="1" w:styleId="55">
    <w:name w:val="附录章标题"/>
    <w:next w:val="21"/>
    <w:qFormat/>
    <w:uiPriority w:val="0"/>
    <w:pPr>
      <w:numPr>
        <w:ilvl w:val="1"/>
        <w:numId w:val="2"/>
      </w:numPr>
      <w:tabs>
        <w:tab w:val="left" w:pos="360"/>
      </w:tabs>
      <w:wordWrap w:val="0"/>
      <w:overflowPunct w:val="0"/>
      <w:autoSpaceDE w:val="0"/>
      <w:spacing w:before="100" w:beforeLines="100" w:after="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56">
    <w:name w:val="附录公式编号制表符"/>
    <w:basedOn w:val="1"/>
    <w:next w:val="21"/>
    <w:qFormat/>
    <w:uiPriority w:val="0"/>
    <w:pPr>
      <w:widowControl/>
      <w:tabs>
        <w:tab w:val="center" w:pos="4201"/>
        <w:tab w:val="right" w:leader="dot" w:pos="9298"/>
      </w:tabs>
      <w:autoSpaceDE w:val="0"/>
      <w:autoSpaceDN w:val="0"/>
    </w:pPr>
    <w:rPr>
      <w:rFonts w:ascii="宋体"/>
      <w:kern w:val="0"/>
      <w:szCs w:val="20"/>
    </w:rPr>
  </w:style>
  <w:style w:type="paragraph" w:customStyle="1" w:styleId="57">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58">
    <w:name w:val="其他发布部门"/>
    <w:basedOn w:val="59"/>
    <w:qFormat/>
    <w:uiPriority w:val="0"/>
    <w:pPr>
      <w:framePr w:y="15310"/>
      <w:spacing w:line="0" w:lineRule="atLeast"/>
    </w:pPr>
    <w:rPr>
      <w:rFonts w:ascii="黑体" w:eastAsia="黑体"/>
      <w:b w:val="0"/>
    </w:rPr>
  </w:style>
  <w:style w:type="paragraph" w:customStyle="1" w:styleId="59">
    <w:name w:val="发布部门"/>
    <w:next w:val="21"/>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60">
    <w:name w:val="附录数字编号列项（二级）"/>
    <w:qFormat/>
    <w:uiPriority w:val="0"/>
    <w:pPr>
      <w:numPr>
        <w:ilvl w:val="1"/>
        <w:numId w:val="8"/>
      </w:numPr>
    </w:pPr>
    <w:rPr>
      <w:rFonts w:ascii="宋体" w:hAnsi="Times New Roman" w:eastAsia="宋体" w:cs="Times New Roman"/>
      <w:sz w:val="21"/>
      <w:lang w:val="en-US" w:eastAsia="zh-CN" w:bidi="ar-SA"/>
    </w:rPr>
  </w:style>
  <w:style w:type="paragraph" w:customStyle="1" w:styleId="61">
    <w:name w:val="附录图标号"/>
    <w:basedOn w:val="1"/>
    <w:qFormat/>
    <w:uiPriority w:val="0"/>
    <w:pPr>
      <w:keepNext/>
      <w:pageBreakBefore/>
      <w:widowControl/>
      <w:numPr>
        <w:ilvl w:val="0"/>
        <w:numId w:val="9"/>
      </w:numPr>
      <w:spacing w:line="14" w:lineRule="exact"/>
      <w:ind w:left="0" w:firstLine="363"/>
      <w:jc w:val="center"/>
      <w:outlineLvl w:val="0"/>
    </w:pPr>
    <w:rPr>
      <w:color w:val="FFFFFF"/>
    </w:rPr>
  </w:style>
  <w:style w:type="paragraph" w:customStyle="1" w:styleId="62">
    <w:name w:val="附录表标号"/>
    <w:basedOn w:val="1"/>
    <w:next w:val="21"/>
    <w:qFormat/>
    <w:uiPriority w:val="0"/>
    <w:pPr>
      <w:numPr>
        <w:ilvl w:val="0"/>
        <w:numId w:val="10"/>
      </w:numPr>
      <w:tabs>
        <w:tab w:val="clear" w:pos="0"/>
      </w:tabs>
      <w:spacing w:line="14" w:lineRule="exact"/>
      <w:ind w:left="811" w:hanging="448"/>
      <w:jc w:val="center"/>
      <w:outlineLvl w:val="0"/>
    </w:pPr>
    <w:rPr>
      <w:color w:val="FFFFFF"/>
    </w:rPr>
  </w:style>
  <w:style w:type="paragraph" w:customStyle="1" w:styleId="63">
    <w:name w:val="条文脚注"/>
    <w:basedOn w:val="22"/>
    <w:qFormat/>
    <w:uiPriority w:val="0"/>
    <w:pPr>
      <w:numPr>
        <w:ilvl w:val="0"/>
        <w:numId w:val="0"/>
      </w:numPr>
      <w:jc w:val="both"/>
    </w:pPr>
    <w:rPr>
      <w:rFonts w:ascii="宋体"/>
    </w:rPr>
  </w:style>
  <w:style w:type="paragraph" w:customStyle="1" w:styleId="64">
    <w:name w:val="注：（正文）"/>
    <w:basedOn w:val="41"/>
    <w:next w:val="21"/>
    <w:qFormat/>
    <w:uiPriority w:val="0"/>
  </w:style>
  <w:style w:type="paragraph" w:customStyle="1" w:styleId="65">
    <w:name w:val="二级无"/>
    <w:basedOn w:val="50"/>
    <w:qFormat/>
    <w:uiPriority w:val="0"/>
    <w:pPr>
      <w:spacing w:before="0" w:beforeLines="0" w:after="0" w:afterLines="0"/>
      <w:ind w:left="0" w:firstLine="0"/>
    </w:pPr>
    <w:rPr>
      <w:rFonts w:ascii="宋体" w:eastAsia="宋体"/>
    </w:rPr>
  </w:style>
  <w:style w:type="paragraph" w:customStyle="1" w:styleId="66">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67">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68">
    <w:name w:val="编号列项（三级）"/>
    <w:qFormat/>
    <w:uiPriority w:val="0"/>
    <w:pPr>
      <w:numPr>
        <w:ilvl w:val="2"/>
        <w:numId w:val="4"/>
      </w:numPr>
    </w:pPr>
    <w:rPr>
      <w:rFonts w:ascii="宋体" w:hAnsi="Times New Roman" w:eastAsia="宋体" w:cs="Times New Roman"/>
      <w:sz w:val="21"/>
      <w:lang w:val="en-US" w:eastAsia="zh-CN" w:bidi="ar-SA"/>
    </w:rPr>
  </w:style>
  <w:style w:type="paragraph" w:customStyle="1" w:styleId="69">
    <w:name w:val="封面标准文稿类别"/>
    <w:basedOn w:val="70"/>
    <w:qFormat/>
    <w:uiPriority w:val="0"/>
    <w:pPr>
      <w:spacing w:after="160" w:line="240" w:lineRule="auto"/>
    </w:pPr>
    <w:rPr>
      <w:sz w:val="24"/>
    </w:rPr>
  </w:style>
  <w:style w:type="paragraph" w:customStyle="1" w:styleId="70">
    <w:name w:val="封面一致性程度标识"/>
    <w:basedOn w:val="71"/>
    <w:qFormat/>
    <w:uiPriority w:val="0"/>
    <w:pPr>
      <w:spacing w:before="440"/>
    </w:pPr>
    <w:rPr>
      <w:rFonts w:ascii="宋体" w:eastAsia="宋体"/>
    </w:rPr>
  </w:style>
  <w:style w:type="paragraph" w:customStyle="1" w:styleId="71">
    <w:name w:val="封面标准英文名称"/>
    <w:basedOn w:val="72"/>
    <w:qFormat/>
    <w:uiPriority w:val="0"/>
    <w:pPr>
      <w:spacing w:before="370" w:line="400" w:lineRule="exact"/>
    </w:pPr>
    <w:rPr>
      <w:rFonts w:ascii="Times New Roman"/>
      <w:sz w:val="28"/>
      <w:szCs w:val="28"/>
    </w:rPr>
  </w:style>
  <w:style w:type="paragraph" w:customStyle="1" w:styleId="72">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73">
    <w:name w:val="列项说明数字编号"/>
    <w:qFormat/>
    <w:uiPriority w:val="0"/>
    <w:pPr>
      <w:ind w:left="600" w:leftChars="400" w:hanging="200" w:hangingChars="200"/>
    </w:pPr>
    <w:rPr>
      <w:rFonts w:ascii="宋体" w:hAnsi="Times New Roman" w:eastAsia="宋体" w:cs="Times New Roman"/>
      <w:sz w:val="21"/>
      <w:lang w:val="en-US" w:eastAsia="zh-CN" w:bidi="ar-SA"/>
    </w:rPr>
  </w:style>
  <w:style w:type="paragraph" w:customStyle="1" w:styleId="74">
    <w:name w:val="附录一级条标题"/>
    <w:basedOn w:val="55"/>
    <w:next w:val="21"/>
    <w:qFormat/>
    <w:uiPriority w:val="0"/>
    <w:pPr>
      <w:numPr>
        <w:ilvl w:val="2"/>
        <w:numId w:val="2"/>
      </w:numPr>
      <w:autoSpaceDN w:val="0"/>
      <w:spacing w:before="50" w:beforeLines="50" w:after="50" w:afterLines="50"/>
      <w:outlineLvl w:val="2"/>
    </w:pPr>
  </w:style>
  <w:style w:type="paragraph" w:customStyle="1" w:styleId="75">
    <w:name w:val="参考文献、索引标题"/>
    <w:basedOn w:val="1"/>
    <w:next w:val="21"/>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76">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77">
    <w:name w:val="字母编号列项（一级）"/>
    <w:qFormat/>
    <w:uiPriority w:val="0"/>
    <w:pPr>
      <w:numPr>
        <w:ilvl w:val="0"/>
        <w:numId w:val="4"/>
      </w:numPr>
      <w:jc w:val="both"/>
    </w:pPr>
    <w:rPr>
      <w:rFonts w:ascii="宋体" w:hAnsi="Times New Roman" w:eastAsia="宋体" w:cs="Times New Roman"/>
      <w:sz w:val="21"/>
      <w:lang w:val="en-US" w:eastAsia="zh-CN" w:bidi="ar-SA"/>
    </w:rPr>
  </w:style>
  <w:style w:type="paragraph" w:customStyle="1" w:styleId="78">
    <w:name w:val="标准书眉一"/>
    <w:qFormat/>
    <w:uiPriority w:val="0"/>
    <w:pPr>
      <w:jc w:val="both"/>
    </w:pPr>
    <w:rPr>
      <w:rFonts w:ascii="Times New Roman" w:hAnsi="Times New Roman" w:eastAsia="宋体" w:cs="Times New Roman"/>
      <w:lang w:val="en-US" w:eastAsia="zh-CN" w:bidi="ar-SA"/>
    </w:rPr>
  </w:style>
  <w:style w:type="paragraph" w:customStyle="1" w:styleId="79">
    <w:name w:val="附录二级条标题"/>
    <w:basedOn w:val="1"/>
    <w:next w:val="21"/>
    <w:qFormat/>
    <w:uiPriority w:val="0"/>
    <w:pPr>
      <w:widowControl/>
      <w:numPr>
        <w:ilvl w:val="3"/>
        <w:numId w:val="2"/>
      </w:numPr>
      <w:tabs>
        <w:tab w:val="left" w:pos="360"/>
      </w:tabs>
      <w:wordWrap w:val="0"/>
      <w:overflowPunct w:val="0"/>
      <w:autoSpaceDE w:val="0"/>
      <w:autoSpaceDN w:val="0"/>
      <w:spacing w:before="50" w:beforeLines="50" w:after="50" w:afterLines="50"/>
      <w:textAlignment w:val="baseline"/>
      <w:outlineLvl w:val="3"/>
    </w:pPr>
    <w:rPr>
      <w:rFonts w:ascii="黑体" w:eastAsia="黑体"/>
      <w:kern w:val="21"/>
      <w:szCs w:val="20"/>
    </w:rPr>
  </w:style>
  <w:style w:type="paragraph" w:customStyle="1" w:styleId="80">
    <w:name w:val="五级无"/>
    <w:basedOn w:val="54"/>
    <w:qFormat/>
    <w:uiPriority w:val="0"/>
    <w:pPr>
      <w:spacing w:before="0" w:beforeLines="0" w:after="0" w:afterLines="0"/>
    </w:pPr>
    <w:rPr>
      <w:rFonts w:ascii="宋体" w:eastAsia="宋体"/>
    </w:rPr>
  </w:style>
  <w:style w:type="paragraph" w:customStyle="1" w:styleId="81">
    <w:name w:val="附录四级无"/>
    <w:basedOn w:val="82"/>
    <w:qFormat/>
    <w:uiPriority w:val="0"/>
    <w:pPr>
      <w:tabs>
        <w:tab w:val="left" w:pos="360"/>
      </w:tabs>
      <w:spacing w:before="0" w:beforeLines="0" w:after="0" w:afterLines="0"/>
    </w:pPr>
    <w:rPr>
      <w:rFonts w:ascii="宋体" w:eastAsia="宋体"/>
      <w:szCs w:val="21"/>
    </w:rPr>
  </w:style>
  <w:style w:type="paragraph" w:customStyle="1" w:styleId="82">
    <w:name w:val="附录四级条标题"/>
    <w:basedOn w:val="83"/>
    <w:next w:val="21"/>
    <w:qFormat/>
    <w:uiPriority w:val="0"/>
    <w:pPr>
      <w:numPr>
        <w:ilvl w:val="5"/>
        <w:numId w:val="2"/>
      </w:numPr>
      <w:tabs>
        <w:tab w:val="left" w:pos="360"/>
      </w:tabs>
      <w:outlineLvl w:val="5"/>
    </w:pPr>
  </w:style>
  <w:style w:type="paragraph" w:customStyle="1" w:styleId="83">
    <w:name w:val="附录三级条标题"/>
    <w:basedOn w:val="79"/>
    <w:next w:val="21"/>
    <w:qFormat/>
    <w:uiPriority w:val="0"/>
    <w:pPr>
      <w:numPr>
        <w:ilvl w:val="4"/>
        <w:numId w:val="2"/>
      </w:numPr>
      <w:outlineLvl w:val="4"/>
    </w:pPr>
  </w:style>
  <w:style w:type="paragraph" w:customStyle="1" w:styleId="84">
    <w:name w:val="注×：（正文）"/>
    <w:qFormat/>
    <w:uiPriority w:val="0"/>
    <w:pPr>
      <w:numPr>
        <w:ilvl w:val="0"/>
        <w:numId w:val="11"/>
      </w:numPr>
      <w:jc w:val="both"/>
    </w:pPr>
    <w:rPr>
      <w:rFonts w:ascii="宋体" w:hAnsi="Times New Roman" w:eastAsia="宋体" w:cs="Times New Roman"/>
      <w:sz w:val="18"/>
      <w:szCs w:val="18"/>
      <w:lang w:val="en-US" w:eastAsia="zh-CN" w:bidi="ar-SA"/>
    </w:rPr>
  </w:style>
  <w:style w:type="paragraph" w:customStyle="1" w:styleId="85">
    <w:name w:val="注×："/>
    <w:qFormat/>
    <w:uiPriority w:val="0"/>
    <w:pPr>
      <w:widowControl w:val="0"/>
      <w:numPr>
        <w:ilvl w:val="0"/>
        <w:numId w:val="12"/>
      </w:numPr>
      <w:autoSpaceDE w:val="0"/>
      <w:autoSpaceDN w:val="0"/>
      <w:jc w:val="both"/>
    </w:pPr>
    <w:rPr>
      <w:rFonts w:ascii="宋体" w:hAnsi="Times New Roman" w:eastAsia="宋体" w:cs="Times New Roman"/>
      <w:sz w:val="18"/>
      <w:szCs w:val="18"/>
      <w:lang w:val="en-US" w:eastAsia="zh-CN" w:bidi="ar-SA"/>
    </w:rPr>
  </w:style>
  <w:style w:type="paragraph" w:customStyle="1" w:styleId="86">
    <w:name w:val="示例"/>
    <w:next w:val="87"/>
    <w:qFormat/>
    <w:uiPriority w:val="0"/>
    <w:pPr>
      <w:widowControl w:val="0"/>
      <w:numPr>
        <w:ilvl w:val="0"/>
        <w:numId w:val="13"/>
      </w:numPr>
      <w:jc w:val="both"/>
    </w:pPr>
    <w:rPr>
      <w:rFonts w:ascii="宋体" w:hAnsi="Times New Roman" w:eastAsia="宋体" w:cs="Times New Roman"/>
      <w:sz w:val="18"/>
      <w:szCs w:val="18"/>
      <w:lang w:val="en-US" w:eastAsia="zh-CN" w:bidi="ar-SA"/>
    </w:rPr>
  </w:style>
  <w:style w:type="paragraph" w:customStyle="1" w:styleId="87">
    <w:name w:val="示例内容"/>
    <w:qFormat/>
    <w:uiPriority w:val="0"/>
    <w:pPr>
      <w:ind w:firstLine="200" w:firstLineChars="200"/>
    </w:pPr>
    <w:rPr>
      <w:rFonts w:ascii="宋体" w:hAnsi="Times New Roman" w:eastAsia="宋体" w:cs="Times New Roman"/>
      <w:sz w:val="18"/>
      <w:szCs w:val="18"/>
      <w:lang w:val="en-US" w:eastAsia="zh-CN" w:bidi="ar-SA"/>
    </w:rPr>
  </w:style>
  <w:style w:type="paragraph" w:customStyle="1" w:styleId="88">
    <w:name w:val="前言、引言标题"/>
    <w:next w:val="21"/>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89">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90">
    <w:name w:val="附录字母编号列项（一级）"/>
    <w:qFormat/>
    <w:uiPriority w:val="0"/>
    <w:pPr>
      <w:numPr>
        <w:ilvl w:val="0"/>
        <w:numId w:val="8"/>
      </w:numPr>
    </w:pPr>
    <w:rPr>
      <w:rFonts w:ascii="宋体" w:hAnsi="Times New Roman" w:eastAsia="宋体" w:cs="Times New Roman"/>
      <w:sz w:val="21"/>
      <w:lang w:val="en-US" w:eastAsia="zh-CN" w:bidi="ar-SA"/>
    </w:rPr>
  </w:style>
  <w:style w:type="paragraph" w:customStyle="1" w:styleId="91">
    <w:name w:val="附录五级条标题"/>
    <w:basedOn w:val="82"/>
    <w:next w:val="21"/>
    <w:qFormat/>
    <w:uiPriority w:val="0"/>
    <w:pPr>
      <w:numPr>
        <w:ilvl w:val="6"/>
        <w:numId w:val="2"/>
      </w:numPr>
      <w:outlineLvl w:val="6"/>
    </w:pPr>
  </w:style>
  <w:style w:type="paragraph" w:customStyle="1" w:styleId="92">
    <w:name w:val="参考文献"/>
    <w:basedOn w:val="1"/>
    <w:next w:val="21"/>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93">
    <w:name w:val="示例×："/>
    <w:basedOn w:val="94"/>
    <w:qFormat/>
    <w:uiPriority w:val="0"/>
    <w:pPr>
      <w:numPr>
        <w:ilvl w:val="0"/>
        <w:numId w:val="14"/>
      </w:numPr>
      <w:spacing w:before="0" w:beforeLines="0" w:after="0" w:afterLines="0"/>
      <w:outlineLvl w:val="9"/>
    </w:pPr>
    <w:rPr>
      <w:rFonts w:ascii="宋体" w:eastAsia="宋体"/>
      <w:sz w:val="18"/>
      <w:szCs w:val="18"/>
    </w:rPr>
  </w:style>
  <w:style w:type="paragraph" w:customStyle="1" w:styleId="94">
    <w:name w:val="章标题"/>
    <w:next w:val="21"/>
    <w:qFormat/>
    <w:uiPriority w:val="0"/>
    <w:pPr>
      <w:numPr>
        <w:ilvl w:val="0"/>
        <w:numId w:val="5"/>
      </w:numPr>
      <w:spacing w:before="312" w:beforeLines="100" w:after="312" w:afterLines="100"/>
      <w:jc w:val="both"/>
      <w:outlineLvl w:val="1"/>
    </w:pPr>
    <w:rPr>
      <w:rFonts w:ascii="黑体" w:hAnsi="Times New Roman" w:eastAsia="黑体" w:cs="Times New Roman"/>
      <w:sz w:val="21"/>
      <w:lang w:val="en-US" w:eastAsia="zh-CN" w:bidi="ar-SA"/>
    </w:rPr>
  </w:style>
  <w:style w:type="paragraph" w:customStyle="1" w:styleId="95">
    <w:name w:val="图的脚注"/>
    <w:next w:val="21"/>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96">
    <w:name w:val="目次、标准名称标题"/>
    <w:basedOn w:val="1"/>
    <w:next w:val="21"/>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97">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98">
    <w:name w:val="列项◆（三级）"/>
    <w:basedOn w:val="1"/>
    <w:qFormat/>
    <w:uiPriority w:val="0"/>
    <w:pPr>
      <w:numPr>
        <w:ilvl w:val="2"/>
        <w:numId w:val="6"/>
      </w:numPr>
    </w:pPr>
    <w:rPr>
      <w:rFonts w:ascii="宋体"/>
      <w:szCs w:val="21"/>
    </w:rPr>
  </w:style>
  <w:style w:type="paragraph" w:customStyle="1" w:styleId="99">
    <w:name w:val="附录五级无"/>
    <w:basedOn w:val="91"/>
    <w:qFormat/>
    <w:uiPriority w:val="0"/>
    <w:pPr>
      <w:tabs>
        <w:tab w:val="clear" w:pos="360"/>
      </w:tabs>
      <w:spacing w:before="0" w:beforeLines="0" w:after="0" w:afterLines="0"/>
    </w:pPr>
    <w:rPr>
      <w:rFonts w:ascii="宋体" w:eastAsia="宋体"/>
      <w:szCs w:val="21"/>
    </w:rPr>
  </w:style>
  <w:style w:type="paragraph" w:customStyle="1" w:styleId="100">
    <w:name w:val="附录一级无"/>
    <w:basedOn w:val="74"/>
    <w:qFormat/>
    <w:uiPriority w:val="0"/>
    <w:pPr>
      <w:tabs>
        <w:tab w:val="clear" w:pos="360"/>
      </w:tabs>
      <w:spacing w:before="0" w:beforeLines="0" w:after="0" w:afterLines="0"/>
    </w:pPr>
    <w:rPr>
      <w:rFonts w:ascii="宋体" w:eastAsia="宋体"/>
      <w:szCs w:val="21"/>
    </w:rPr>
  </w:style>
  <w:style w:type="paragraph" w:customStyle="1" w:styleId="101">
    <w:name w:val="标准书脚_偶数页"/>
    <w:qFormat/>
    <w:uiPriority w:val="0"/>
    <w:pPr>
      <w:spacing w:before="120"/>
      <w:ind w:left="221"/>
    </w:pPr>
    <w:rPr>
      <w:rFonts w:ascii="宋体" w:hAnsi="Times New Roman" w:eastAsia="宋体" w:cs="Times New Roman"/>
      <w:sz w:val="18"/>
      <w:szCs w:val="18"/>
      <w:lang w:val="en-US" w:eastAsia="zh-CN" w:bidi="ar-SA"/>
    </w:rPr>
  </w:style>
  <w:style w:type="paragraph" w:customStyle="1" w:styleId="102">
    <w:name w:val="图标脚注说明"/>
    <w:basedOn w:val="21"/>
    <w:qFormat/>
    <w:uiPriority w:val="0"/>
    <w:pPr>
      <w:ind w:left="840" w:hanging="420" w:firstLineChars="0"/>
    </w:pPr>
    <w:rPr>
      <w:sz w:val="18"/>
      <w:szCs w:val="18"/>
    </w:rPr>
  </w:style>
  <w:style w:type="paragraph" w:customStyle="1" w:styleId="103">
    <w:name w:val="列项——（一级）"/>
    <w:qFormat/>
    <w:uiPriority w:val="0"/>
    <w:pPr>
      <w:widowControl w:val="0"/>
      <w:numPr>
        <w:ilvl w:val="0"/>
        <w:numId w:val="6"/>
      </w:numPr>
      <w:jc w:val="both"/>
    </w:pPr>
    <w:rPr>
      <w:rFonts w:ascii="宋体" w:hAnsi="Times New Roman" w:eastAsia="宋体" w:cs="Times New Roman"/>
      <w:sz w:val="21"/>
      <w:lang w:val="en-US" w:eastAsia="zh-CN" w:bidi="ar-SA"/>
    </w:rPr>
  </w:style>
  <w:style w:type="paragraph" w:customStyle="1" w:styleId="104">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05">
    <w:name w:val="发布日期"/>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106">
    <w:name w:val="一级无"/>
    <w:basedOn w:val="51"/>
    <w:qFormat/>
    <w:uiPriority w:val="0"/>
    <w:pPr>
      <w:spacing w:before="0" w:beforeLines="0" w:after="0" w:afterLines="0"/>
    </w:pPr>
    <w:rPr>
      <w:rFonts w:ascii="宋体" w:eastAsia="宋体"/>
    </w:rPr>
  </w:style>
  <w:style w:type="paragraph" w:customStyle="1" w:styleId="107">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108">
    <w:name w:val="示例后文字"/>
    <w:basedOn w:val="21"/>
    <w:next w:val="21"/>
    <w:qFormat/>
    <w:uiPriority w:val="0"/>
    <w:pPr>
      <w:ind w:firstLine="360"/>
    </w:pPr>
    <w:rPr>
      <w:sz w:val="18"/>
    </w:rPr>
  </w:style>
  <w:style w:type="paragraph" w:customStyle="1" w:styleId="109">
    <w:name w:val="封面标准文稿编辑信息"/>
    <w:basedOn w:val="69"/>
    <w:qFormat/>
    <w:uiPriority w:val="0"/>
    <w:pPr>
      <w:spacing w:before="180" w:line="180" w:lineRule="exact"/>
    </w:pPr>
    <w:rPr>
      <w:sz w:val="21"/>
    </w:rPr>
  </w:style>
  <w:style w:type="paragraph" w:customStyle="1" w:styleId="110">
    <w:name w:val="附录公式"/>
    <w:basedOn w:val="21"/>
    <w:next w:val="21"/>
    <w:link w:val="134"/>
    <w:qFormat/>
    <w:uiPriority w:val="0"/>
  </w:style>
  <w:style w:type="paragraph" w:customStyle="1" w:styleId="111">
    <w:name w:val="封面正文"/>
    <w:qFormat/>
    <w:uiPriority w:val="0"/>
    <w:pPr>
      <w:jc w:val="both"/>
    </w:pPr>
    <w:rPr>
      <w:rFonts w:ascii="Times New Roman" w:hAnsi="Times New Roman" w:eastAsia="宋体" w:cs="Times New Roman"/>
      <w:lang w:val="en-US" w:eastAsia="zh-CN" w:bidi="ar-SA"/>
    </w:rPr>
  </w:style>
  <w:style w:type="paragraph" w:customStyle="1" w:styleId="112">
    <w:name w:val="附录标题"/>
    <w:basedOn w:val="21"/>
    <w:next w:val="21"/>
    <w:qFormat/>
    <w:uiPriority w:val="0"/>
    <w:pPr>
      <w:ind w:firstLine="0" w:firstLineChars="0"/>
      <w:jc w:val="center"/>
    </w:pPr>
    <w:rPr>
      <w:rFonts w:ascii="黑体" w:eastAsia="黑体"/>
    </w:rPr>
  </w:style>
  <w:style w:type="paragraph" w:customStyle="1" w:styleId="113">
    <w:name w:val="附录表标题"/>
    <w:basedOn w:val="1"/>
    <w:next w:val="21"/>
    <w:qFormat/>
    <w:uiPriority w:val="0"/>
    <w:pPr>
      <w:numPr>
        <w:ilvl w:val="1"/>
        <w:numId w:val="10"/>
      </w:numPr>
      <w:tabs>
        <w:tab w:val="left" w:pos="180"/>
      </w:tabs>
      <w:spacing w:before="50" w:beforeLines="50" w:after="50" w:afterLines="50"/>
      <w:ind w:left="0" w:firstLine="0"/>
      <w:jc w:val="center"/>
    </w:pPr>
    <w:rPr>
      <w:rFonts w:ascii="黑体" w:eastAsia="黑体"/>
      <w:szCs w:val="21"/>
    </w:rPr>
  </w:style>
  <w:style w:type="paragraph" w:customStyle="1" w:styleId="114">
    <w:name w:val="附录二级无"/>
    <w:basedOn w:val="79"/>
    <w:qFormat/>
    <w:uiPriority w:val="0"/>
    <w:pPr>
      <w:tabs>
        <w:tab w:val="clear" w:pos="360"/>
      </w:tabs>
      <w:spacing w:before="0" w:beforeLines="0" w:after="0" w:afterLines="0"/>
    </w:pPr>
    <w:rPr>
      <w:rFonts w:ascii="宋体" w:eastAsia="宋体"/>
      <w:szCs w:val="21"/>
    </w:rPr>
  </w:style>
  <w:style w:type="paragraph" w:customStyle="1" w:styleId="115">
    <w:name w:val="首示例"/>
    <w:next w:val="21"/>
    <w:link w:val="135"/>
    <w:qFormat/>
    <w:uiPriority w:val="0"/>
    <w:pPr>
      <w:numPr>
        <w:ilvl w:val="0"/>
        <w:numId w:val="15"/>
      </w:numPr>
      <w:tabs>
        <w:tab w:val="left" w:pos="360"/>
      </w:tabs>
      <w:ind w:firstLine="0"/>
    </w:pPr>
    <w:rPr>
      <w:rFonts w:ascii="宋体" w:hAnsi="宋体" w:eastAsia="宋体" w:cs="Times New Roman"/>
      <w:kern w:val="2"/>
      <w:sz w:val="18"/>
      <w:szCs w:val="18"/>
      <w:lang w:val="en-US" w:eastAsia="zh-CN" w:bidi="ar-SA"/>
    </w:rPr>
  </w:style>
  <w:style w:type="paragraph" w:customStyle="1" w:styleId="116">
    <w:name w:val="附录三级无"/>
    <w:basedOn w:val="83"/>
    <w:qFormat/>
    <w:uiPriority w:val="0"/>
    <w:pPr>
      <w:tabs>
        <w:tab w:val="clear" w:pos="360"/>
      </w:tabs>
      <w:spacing w:before="0" w:beforeLines="0" w:after="0" w:afterLines="0"/>
    </w:pPr>
    <w:rPr>
      <w:rFonts w:ascii="宋体" w:eastAsia="宋体"/>
      <w:szCs w:val="21"/>
    </w:rPr>
  </w:style>
  <w:style w:type="paragraph" w:customStyle="1" w:styleId="117">
    <w:name w:val="三级无"/>
    <w:basedOn w:val="49"/>
    <w:qFormat/>
    <w:uiPriority w:val="0"/>
    <w:pPr>
      <w:spacing w:before="0" w:beforeLines="0" w:after="0" w:afterLines="0"/>
    </w:pPr>
    <w:rPr>
      <w:rFonts w:ascii="宋体" w:eastAsia="宋体"/>
    </w:rPr>
  </w:style>
  <w:style w:type="paragraph" w:customStyle="1" w:styleId="118">
    <w:name w:val="附录图标题"/>
    <w:basedOn w:val="1"/>
    <w:next w:val="21"/>
    <w:qFormat/>
    <w:uiPriority w:val="0"/>
    <w:pPr>
      <w:numPr>
        <w:ilvl w:val="1"/>
        <w:numId w:val="9"/>
      </w:numPr>
      <w:tabs>
        <w:tab w:val="left" w:pos="363"/>
      </w:tabs>
      <w:spacing w:before="50" w:beforeLines="50" w:after="50" w:afterLines="50"/>
      <w:ind w:left="0" w:firstLine="0"/>
      <w:jc w:val="center"/>
    </w:pPr>
    <w:rPr>
      <w:rFonts w:ascii="黑体" w:eastAsia="黑体"/>
      <w:szCs w:val="21"/>
    </w:rPr>
  </w:style>
  <w:style w:type="paragraph" w:customStyle="1" w:styleId="119">
    <w:name w:val="列项说明"/>
    <w:basedOn w:val="1"/>
    <w:qFormat/>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120">
    <w:name w:val="实施日期"/>
    <w:basedOn w:val="105"/>
    <w:qFormat/>
    <w:uiPriority w:val="0"/>
    <w:pPr>
      <w:framePr w:vAnchor="page" w:hAnchor="page"/>
      <w:jc w:val="right"/>
    </w:pPr>
  </w:style>
  <w:style w:type="paragraph" w:customStyle="1" w:styleId="121">
    <w:name w:val="图表脚注说明"/>
    <w:basedOn w:val="1"/>
    <w:qFormat/>
    <w:uiPriority w:val="0"/>
    <w:pPr>
      <w:numPr>
        <w:ilvl w:val="0"/>
        <w:numId w:val="16"/>
      </w:numPr>
    </w:pPr>
    <w:rPr>
      <w:rFonts w:ascii="宋体"/>
      <w:sz w:val="18"/>
      <w:szCs w:val="18"/>
    </w:rPr>
  </w:style>
  <w:style w:type="paragraph" w:customStyle="1" w:styleId="122">
    <w:name w:val="正文公式编号制表符"/>
    <w:basedOn w:val="21"/>
    <w:next w:val="21"/>
    <w:qFormat/>
    <w:uiPriority w:val="0"/>
    <w:pPr>
      <w:ind w:firstLine="0" w:firstLineChars="0"/>
    </w:pPr>
  </w:style>
  <w:style w:type="paragraph" w:customStyle="1" w:styleId="123">
    <w:name w:val="正文图标题"/>
    <w:next w:val="21"/>
    <w:qFormat/>
    <w:uiPriority w:val="0"/>
    <w:pPr>
      <w:numPr>
        <w:ilvl w:val="0"/>
        <w:numId w:val="17"/>
      </w:numPr>
      <w:tabs>
        <w:tab w:val="left" w:pos="360"/>
      </w:tabs>
      <w:spacing w:before="156" w:beforeLines="50" w:after="156" w:afterLines="50"/>
      <w:jc w:val="center"/>
    </w:pPr>
    <w:rPr>
      <w:rFonts w:ascii="黑体" w:hAnsi="Times New Roman" w:eastAsia="黑体" w:cs="Times New Roman"/>
      <w:sz w:val="21"/>
      <w:lang w:val="en-US" w:eastAsia="zh-CN" w:bidi="ar-SA"/>
    </w:rPr>
  </w:style>
  <w:style w:type="paragraph" w:customStyle="1" w:styleId="124">
    <w:name w:val="终结线"/>
    <w:basedOn w:val="1"/>
    <w:qFormat/>
    <w:uiPriority w:val="0"/>
    <w:pPr>
      <w:framePr w:hSpace="181" w:vSpace="181" w:wrap="around" w:vAnchor="text" w:hAnchor="margin" w:xAlign="center" w:y="285"/>
    </w:pPr>
  </w:style>
  <w:style w:type="paragraph" w:customStyle="1" w:styleId="125">
    <w:name w:val="其他发布日期"/>
    <w:basedOn w:val="105"/>
    <w:qFormat/>
    <w:uiPriority w:val="0"/>
    <w:pPr>
      <w:framePr w:vAnchor="page" w:hAnchor="page" w:x="1419"/>
    </w:pPr>
  </w:style>
  <w:style w:type="paragraph" w:customStyle="1" w:styleId="126">
    <w:name w:val="其他实施日期"/>
    <w:basedOn w:val="120"/>
    <w:qFormat/>
    <w:uiPriority w:val="0"/>
  </w:style>
  <w:style w:type="paragraph" w:customStyle="1" w:styleId="127">
    <w:name w:val="封面标准名称2"/>
    <w:basedOn w:val="72"/>
    <w:qFormat/>
    <w:uiPriority w:val="0"/>
    <w:pPr>
      <w:framePr w:y="4469"/>
      <w:spacing w:before="630" w:beforeLines="630"/>
    </w:pPr>
  </w:style>
  <w:style w:type="paragraph" w:customStyle="1" w:styleId="128">
    <w:name w:val="封面标准英文名称2"/>
    <w:basedOn w:val="71"/>
    <w:qFormat/>
    <w:uiPriority w:val="0"/>
    <w:pPr>
      <w:framePr w:y="4469"/>
    </w:pPr>
  </w:style>
  <w:style w:type="paragraph" w:customStyle="1" w:styleId="129">
    <w:name w:val="封面一致性程度标识2"/>
    <w:basedOn w:val="70"/>
    <w:qFormat/>
    <w:uiPriority w:val="0"/>
    <w:pPr>
      <w:framePr w:y="4469"/>
    </w:pPr>
  </w:style>
  <w:style w:type="paragraph" w:customStyle="1" w:styleId="130">
    <w:name w:val="封面标准文稿类别2"/>
    <w:basedOn w:val="69"/>
    <w:qFormat/>
    <w:uiPriority w:val="0"/>
    <w:pPr>
      <w:framePr w:y="4469"/>
    </w:pPr>
  </w:style>
  <w:style w:type="paragraph" w:customStyle="1" w:styleId="131">
    <w:name w:val="封面标准文稿编辑信息2"/>
    <w:basedOn w:val="109"/>
    <w:qFormat/>
    <w:uiPriority w:val="0"/>
    <w:pPr>
      <w:framePr w:y="4469"/>
    </w:pPr>
  </w:style>
  <w:style w:type="character" w:customStyle="1" w:styleId="132">
    <w:name w:val="段 Char"/>
    <w:basedOn w:val="32"/>
    <w:link w:val="21"/>
    <w:qFormat/>
    <w:uiPriority w:val="0"/>
    <w:rPr>
      <w:rFonts w:ascii="宋体"/>
      <w:sz w:val="21"/>
      <w:lang w:val="en-US" w:eastAsia="zh-CN" w:bidi="ar-SA"/>
    </w:rPr>
  </w:style>
  <w:style w:type="character" w:customStyle="1" w:styleId="133">
    <w:name w:val="发布"/>
    <w:basedOn w:val="32"/>
    <w:qFormat/>
    <w:uiPriority w:val="0"/>
    <w:rPr>
      <w:rFonts w:ascii="黑体" w:eastAsia="黑体"/>
      <w:spacing w:val="85"/>
      <w:w w:val="100"/>
      <w:position w:val="3"/>
      <w:sz w:val="28"/>
      <w:szCs w:val="28"/>
    </w:rPr>
  </w:style>
  <w:style w:type="character" w:customStyle="1" w:styleId="134">
    <w:name w:val="附录公式 Char"/>
    <w:basedOn w:val="132"/>
    <w:link w:val="110"/>
    <w:qFormat/>
    <w:uiPriority w:val="0"/>
  </w:style>
  <w:style w:type="character" w:customStyle="1" w:styleId="135">
    <w:name w:val="首示例 Char"/>
    <w:basedOn w:val="32"/>
    <w:link w:val="115"/>
    <w:qFormat/>
    <w:uiPriority w:val="0"/>
    <w:rPr>
      <w:rFonts w:ascii="宋体" w:hAnsi="宋体"/>
      <w:kern w:val="2"/>
      <w:sz w:val="18"/>
      <w:szCs w:val="18"/>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23433;&#20840;&#19982;&#39118;&#38505;&#32508;&#21512;&#31649;&#29702;&#20307;&#31995;-&#20869;&#37096;&#30740;&#31350;\TCS&#26684;&#24335;.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TCS格式.dot</Template>
  <Pages>35</Pages>
  <Words>21549</Words>
  <Characters>22451</Characters>
  <Lines>3</Lines>
  <Paragraphs>4</Paragraphs>
  <TotalTime>1</TotalTime>
  <ScaleCrop>false</ScaleCrop>
  <LinksUpToDate>false</LinksUpToDate>
  <CharactersWithSpaces>23257</CharactersWithSpaces>
  <Application>WPS Office_11.1.0.10524_F1E327BC-269C-435d-A152-05C5408002CA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2020-12-28T01:51:00Z</dcterms:created>
  <dcterms:modified xsi:type="dcterms:W3CDTF">2021-11-10T01:36:24Z</dcterms:modified>
  <dc:title>标准名称</dc:title>
  <cp:revision>311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2052-11.1.0.10524</vt:lpwstr>
  </property>
  <property fmtid="{D5CDD505-2E9C-101B-9397-08002B2CF9AE}" pid="3" name="ICV">
    <vt:lpwstr>02D3307857494DF18A1944D263CAECCA</vt:lpwstr>
  </property>
</Properties>
</file>